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05" w:rsidRPr="002A050F" w:rsidRDefault="00041405" w:rsidP="002A0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2F5BD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View From The Top</w:t>
      </w:r>
      <w:r w:rsidR="00C71878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:  A California Agricultural Education Leadership Delphi Perspective</w:t>
      </w: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Erin K. Gorter</w:t>
      </w: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California Polytechnic State University</w:t>
      </w: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Benjamin G. Swan</w:t>
      </w: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California Polytechnic State University</w:t>
      </w: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F. Nicole Ray</w:t>
      </w: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Texas A&amp;M </w:t>
      </w:r>
      <w:r w:rsidR="00A608BF">
        <w:rPr>
          <w:rFonts w:ascii="Times New Roman" w:eastAsia="Times New Roman" w:hAnsi="Times New Roman" w:cs="Times New Roman"/>
          <w:sz w:val="24"/>
          <w:szCs w:val="24"/>
        </w:rPr>
        <w:t>University and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Texas Tech University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3D">
        <w:rPr>
          <w:rFonts w:ascii="Times New Roman" w:eastAsia="Times New Roman" w:hAnsi="Times New Roman" w:cs="Times New Roman"/>
          <w:sz w:val="24"/>
          <w:szCs w:val="24"/>
        </w:rPr>
        <w:t>Doc@Distance</w:t>
      </w:r>
      <w:proofErr w:type="spellEnd"/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E02505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One Grand Avenue</w:t>
      </w: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San Luis Obispo, CA 93407</w:t>
      </w:r>
    </w:p>
    <w:p w:rsidR="00E02505" w:rsidRPr="002A050F" w:rsidRDefault="00C7187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805-756-5362</w:t>
      </w:r>
    </w:p>
    <w:p w:rsidR="00E02505" w:rsidRPr="002F5BD8" w:rsidRDefault="002F5BD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sz w:val="24"/>
          <w:szCs w:val="24"/>
        </w:rPr>
        <w:t>ekthomps@calpoly.edu</w:t>
      </w:r>
      <w:r w:rsidRPr="002F5BD8">
        <w:rPr>
          <w:rFonts w:ascii="Times New Roman" w:hAnsi="Times New Roman" w:cs="Times New Roman"/>
          <w:sz w:val="24"/>
          <w:szCs w:val="24"/>
        </w:rPr>
        <w:br w:type="page"/>
      </w:r>
      <w:r w:rsidRPr="002F5B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View </w:t>
      </w:r>
      <w:proofErr w:type="gramStart"/>
      <w:r w:rsidRPr="002F5B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From</w:t>
      </w:r>
      <w:proofErr w:type="gramEnd"/>
      <w:r w:rsidRPr="002F5B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The Top</w:t>
      </w:r>
      <w:r w:rsidR="00C71878" w:rsidRPr="002F5B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 A </w:t>
      </w:r>
      <w:r w:rsidR="00FA16A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California</w:t>
      </w:r>
      <w:r w:rsidR="00C71878" w:rsidRPr="002F5B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Agricultural Education Leadership Delphi Perspective</w:t>
      </w:r>
    </w:p>
    <w:p w:rsidR="001E1F1C" w:rsidRPr="002F5BD8" w:rsidRDefault="001E1F1C" w:rsidP="002A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Introduction/need for research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Maintaining a pool of high quality teacher candidates is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a challenge </w:t>
      </w:r>
      <w:r w:rsidR="007D275A" w:rsidRPr="002A050F">
        <w:rPr>
          <w:rFonts w:ascii="Times New Roman" w:eastAsia="Times New Roman" w:hAnsi="Times New Roman" w:cs="Times New Roman"/>
          <w:sz w:val="24"/>
          <w:szCs w:val="24"/>
        </w:rPr>
        <w:t xml:space="preserve">exacerbated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with the expansion and creation of programs statewide.  Nationally, 739 teachers reported leaving the agriculture classroom with teacher preparation p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rograms only providing 717 new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teachers (Foster, Lawver &amp; Smith, 2014), leaving a gap to fill.  As of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May 2, 2016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="009A26A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re 65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agriculture teaching positions open in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(D. </w:t>
      </w:r>
      <w:proofErr w:type="spellStart"/>
      <w:r w:rsidR="00A37C3D">
        <w:rPr>
          <w:rFonts w:ascii="Times New Roman" w:eastAsia="Times New Roman" w:hAnsi="Times New Roman" w:cs="Times New Roman"/>
          <w:sz w:val="24"/>
          <w:szCs w:val="24"/>
        </w:rPr>
        <w:t>Dunnigan</w:t>
      </w:r>
      <w:proofErr w:type="spellEnd"/>
      <w:r w:rsidR="00A37C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personal communication,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May 2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, 2016). 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Teacher preparation institutions in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estimated producing 62 new teachers during the 2015-16 academic year, leaving a gap to fill during the earl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y stages of the hiring season (California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Department of Education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 [CDE]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, 2015).</w:t>
      </w:r>
    </w:p>
    <w:p w:rsidR="001E1F1C" w:rsidRPr="002A050F" w:rsidRDefault="00C71878" w:rsidP="002A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The shortage of agriculture teachers requires our profession to urge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students to join the profession. 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This research aligns with the Priority 5 - Efficient and Effective Agricultural Education Programs of the AAAE National Research Agenda (</w:t>
      </w:r>
      <w:proofErr w:type="spellStart"/>
      <w:r w:rsidRPr="002A050F">
        <w:rPr>
          <w:rFonts w:ascii="Times New Roman" w:eastAsia="Times New Roman" w:hAnsi="Times New Roman" w:cs="Times New Roman"/>
          <w:sz w:val="24"/>
          <w:szCs w:val="24"/>
        </w:rPr>
        <w:t>Doerfert</w:t>
      </w:r>
      <w:proofErr w:type="spellEnd"/>
      <w:r w:rsidRPr="002A050F">
        <w:rPr>
          <w:rFonts w:ascii="Times New Roman" w:eastAsia="Times New Roman" w:hAnsi="Times New Roman" w:cs="Times New Roman"/>
          <w:sz w:val="24"/>
          <w:szCs w:val="24"/>
        </w:rPr>
        <w:t>, 2011) by providing insight to the current situation of our agriculture programs and teachers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.  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agricultural education leadership has designated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 this as an area of critical concern to the profession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(L. McCabe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, personal c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ommunication, October 15, 2015), thus their opinions were sought.</w:t>
      </w:r>
    </w:p>
    <w:p w:rsidR="00447CEF" w:rsidRPr="002A050F" w:rsidRDefault="00447CEF" w:rsidP="002A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Conceptual or theoretical framework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F1C" w:rsidRPr="002A050F" w:rsidRDefault="00C71878" w:rsidP="002A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This study is based on Social Cognitive Career Theory (Lent, Brown &amp; Hackett, 1994, 2000, 2002) which indicate</w:t>
      </w:r>
      <w:r w:rsidR="009A26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“performance and persistence in educational and occupation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al pursuits” (1994, p. 79) as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condition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which af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fect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the development of an individu</w:t>
      </w:r>
      <w:r w:rsidR="00E12C2B">
        <w:rPr>
          <w:rFonts w:ascii="Times New Roman" w:eastAsia="Times New Roman" w:hAnsi="Times New Roman" w:cs="Times New Roman"/>
          <w:sz w:val="24"/>
          <w:szCs w:val="24"/>
        </w:rPr>
        <w:t>al’s career choice. Lent et al.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(1994) described academic development and career choice as “dovetailing” (p. 81) with information acquired during school, ultimately affecting career decisions.</w:t>
      </w:r>
    </w:p>
    <w:p w:rsidR="00447CEF" w:rsidRPr="002A050F" w:rsidRDefault="00447CEF" w:rsidP="002A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Methodology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383EFD" w:rsidRDefault="00C71878" w:rsidP="002A050F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A Delphi Study, or “group process which utilizes written responses as opposed to bringing individuals together,” (</w:t>
      </w:r>
      <w:proofErr w:type="spellStart"/>
      <w:r w:rsidRPr="002A050F">
        <w:rPr>
          <w:rFonts w:ascii="Times New Roman" w:eastAsia="Times New Roman" w:hAnsi="Times New Roman" w:cs="Times New Roman"/>
          <w:sz w:val="24"/>
          <w:szCs w:val="24"/>
        </w:rPr>
        <w:t>Delbecq</w:t>
      </w:r>
      <w:proofErr w:type="spellEnd"/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, Van de </w:t>
      </w:r>
      <w:proofErr w:type="spellStart"/>
      <w:r w:rsidRPr="002A050F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2A050F">
        <w:rPr>
          <w:rFonts w:ascii="Times New Roman" w:eastAsia="Times New Roman" w:hAnsi="Times New Roman" w:cs="Times New Roman"/>
          <w:sz w:val="24"/>
          <w:szCs w:val="24"/>
        </w:rPr>
        <w:t>, &amp; Gustafson, 1975, p.</w:t>
      </w:r>
      <w:r w:rsidR="006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83) was conducted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to form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 consensus of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leaders in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agricultural education including:  Six Depar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</w:rPr>
        <w:t xml:space="preserve">tment of Education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Consultants,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the 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FFA Advisor, the Executive Director of the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Agricultura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l Teachers Association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 [CATA]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, the five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state officers for the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CATA</w:t>
      </w:r>
      <w:r w:rsidR="008F0548">
        <w:rPr>
          <w:rFonts w:ascii="Times New Roman" w:eastAsia="Times New Roman" w:hAnsi="Times New Roman" w:cs="Times New Roman"/>
          <w:color w:val="auto"/>
          <w:sz w:val="24"/>
          <w:szCs w:val="24"/>
        </w:rPr>
        <w:t>, and the five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 coordinators from institutions </w:t>
      </w:r>
      <w:r w:rsidR="003F225A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whom credential agriculture teachers in </w:t>
      </w:r>
      <w:r w:rsidR="00A37C3D">
        <w:rPr>
          <w:rFonts w:ascii="Times New Roman" w:eastAsia="Times New Roman" w:hAnsi="Times New Roman" w:cs="Times New Roman"/>
          <w:color w:val="auto"/>
          <w:sz w:val="24"/>
          <w:szCs w:val="24"/>
        </w:rPr>
        <w:t>California (CATA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2016 &amp; </w:t>
      </w:r>
      <w:r w:rsidR="00A37C3D">
        <w:rPr>
          <w:rFonts w:ascii="Times New Roman" w:eastAsia="Times New Roman" w:hAnsi="Times New Roman" w:cs="Times New Roman"/>
          <w:color w:val="auto"/>
          <w:sz w:val="24"/>
          <w:szCs w:val="24"/>
        </w:rPr>
        <w:t>CDE</w:t>
      </w:r>
      <w:r w:rsidR="00447CEF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, 2016)</w:t>
      </w:r>
      <w:r w:rsid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8F0548">
        <w:rPr>
          <w:rFonts w:ascii="Times New Roman" w:eastAsia="Times New Roman" w:hAnsi="Times New Roman" w:cs="Times New Roman"/>
          <w:color w:val="auto"/>
          <w:sz w:val="24"/>
          <w:szCs w:val="24"/>
        </w:rPr>
        <w:t>Reliability is high at .75 with 11 participants (</w:t>
      </w:r>
      <w:proofErr w:type="spellStart"/>
      <w:r w:rsidR="008F0548">
        <w:rPr>
          <w:rFonts w:ascii="Times New Roman" w:eastAsia="Times New Roman" w:hAnsi="Times New Roman" w:cs="Times New Roman"/>
          <w:color w:val="auto"/>
          <w:sz w:val="24"/>
          <w:szCs w:val="24"/>
        </w:rPr>
        <w:t>Dalkey</w:t>
      </w:r>
      <w:proofErr w:type="spellEnd"/>
      <w:r w:rsidR="008F0548">
        <w:rPr>
          <w:rFonts w:ascii="Times New Roman" w:eastAsia="Times New Roman" w:hAnsi="Times New Roman" w:cs="Times New Roman"/>
          <w:color w:val="auto"/>
          <w:sz w:val="24"/>
          <w:szCs w:val="24"/>
        </w:rPr>
        <w:t>, 1969).</w:t>
      </w:r>
    </w:p>
    <w:p w:rsidR="00447CEF" w:rsidRDefault="00C71878" w:rsidP="00383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round one question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was:  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To your knowledge, list of all of the reasons why agriculture teacher candidates/</w:t>
      </w:r>
      <w:r w:rsidR="005120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college 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students who express an interest in becoming an agriculture teacher have not continued on the path towards becoming an agriculture teacher? 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The 94% response rate generated answers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coded into 24 different categories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forming the second round.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During round 2, the 24 items were rated by participants on an interval scale of 1 to 10 identifying how greatly participants </w:t>
      </w:r>
      <w:r w:rsidR="005120C2">
        <w:rPr>
          <w:rFonts w:ascii="Times New Roman" w:eastAsia="Times New Roman" w:hAnsi="Times New Roman" w:cs="Times New Roman"/>
          <w:sz w:val="24"/>
          <w:szCs w:val="24"/>
          <w:highlight w:val="white"/>
        </w:rPr>
        <w:t>thought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reasons deter</w:t>
      </w:r>
      <w:r w:rsidR="00520590"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bookmarkStart w:id="0" w:name="_GoBack"/>
      <w:bookmarkEnd w:id="0"/>
      <w:r w:rsidR="005120C2">
        <w:rPr>
          <w:rFonts w:ascii="Times New Roman" w:eastAsia="Times New Roman" w:hAnsi="Times New Roman" w:cs="Times New Roman"/>
          <w:sz w:val="24"/>
          <w:szCs w:val="24"/>
          <w:highlight w:val="white"/>
        </w:rPr>
        <w:t>ed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persons from continuing towards becoming an agriculture teach</w:t>
      </w:r>
      <w:r w:rsidR="002F5BD8">
        <w:rPr>
          <w:rFonts w:ascii="Times New Roman" w:eastAsia="Times New Roman" w:hAnsi="Times New Roman" w:cs="Times New Roman"/>
          <w:sz w:val="24"/>
          <w:szCs w:val="24"/>
          <w:highlight w:val="white"/>
        </w:rPr>
        <w:t>er (1=little deterrence and 10=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extreme deterrence).  The second round had 100% response rate finding 13 items rated an average of 5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(moderate deterrence) or more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Round 3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asked the respondents to rank the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 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items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from round 2, 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providing a list of 5 ranked deterrents with a 94% response rate.  Round 4</w:t>
      </w:r>
      <w:r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had 78% participation offering any additiona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  <w:highlight w:val="white"/>
        </w:rPr>
        <w:t>l insight into the top 5 deterrents</w:t>
      </w:r>
      <w:r w:rsidR="003F225A" w:rsidRPr="002A0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EFD" w:rsidRPr="002A050F" w:rsidRDefault="00383EFD" w:rsidP="00383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Results/</w:t>
      </w:r>
      <w:r w:rsidR="005120C2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indings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505" w:rsidRPr="002A050F" w:rsidRDefault="00C71878" w:rsidP="002A05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h.l0o4tk6o698s" w:colFirst="0" w:colLast="0"/>
      <w:bookmarkEnd w:id="1"/>
      <w:r w:rsidRPr="002A050F">
        <w:rPr>
          <w:rFonts w:ascii="Times New Roman" w:eastAsia="Times New Roman" w:hAnsi="Times New Roman" w:cs="Times New Roman"/>
          <w:sz w:val="24"/>
          <w:szCs w:val="24"/>
        </w:rPr>
        <w:t>The following are the top five reasons and comments, in order of greatest deterrent, why agriculture students who previously express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an interest in becoming an agriculture teacher d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not continue pursuing a credential according to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agricultural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leadership:</w:t>
      </w:r>
    </w:p>
    <w:p w:rsidR="00E02505" w:rsidRPr="002A050F" w:rsidRDefault="00C71878" w:rsidP="002A050F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bookmarkStart w:id="2" w:name="h.7gfk9kor2x27" w:colFirst="0" w:colLast="0"/>
      <w:bookmarkEnd w:id="2"/>
      <w:r w:rsidRPr="002A050F">
        <w:rPr>
          <w:rFonts w:ascii="Times New Roman" w:eastAsia="Times New Roman" w:hAnsi="Times New Roman" w:cs="Times New Roman"/>
          <w:sz w:val="24"/>
          <w:szCs w:val="24"/>
        </w:rPr>
        <w:t>Dete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rrent 1-J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ob offers from industry. "From personal experience with our students I know that #1 and #2 have caused some of our best students not to start the credential program."</w:t>
      </w:r>
    </w:p>
    <w:p w:rsidR="00E02505" w:rsidRPr="002A050F" w:rsidRDefault="00C71878" w:rsidP="002A050F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bookmarkStart w:id="3" w:name="h.v30rbbh626lh" w:colFirst="0" w:colLast="0"/>
      <w:bookmarkEnd w:id="3"/>
      <w:r w:rsidRPr="002A050F">
        <w:rPr>
          <w:rFonts w:ascii="Times New Roman" w:eastAsia="Times New Roman" w:hAnsi="Times New Roman" w:cs="Times New Roman"/>
          <w:sz w:val="24"/>
          <w:szCs w:val="24"/>
        </w:rPr>
        <w:t>Deterre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nt 2-Time needed to complete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credential requirements. “Because Agricultural Education in 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has the same basic requirements as all credential programs in the state (History, Math, English, 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) including BTSA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 xml:space="preserve"> (should we spell this out?)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, extra year to earn credentials, student teaching, etc.”</w:t>
      </w:r>
    </w:p>
    <w:p w:rsidR="00E02505" w:rsidRPr="002A050F" w:rsidRDefault="008F0548" w:rsidP="002A050F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bookmarkStart w:id="4" w:name="h.x3cyq0cndf0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Deterrent 3-F</w:t>
      </w:r>
      <w:r w:rsidR="00C71878" w:rsidRPr="002A050F">
        <w:rPr>
          <w:rFonts w:ascii="Times New Roman" w:eastAsia="Times New Roman" w:hAnsi="Times New Roman" w:cs="Times New Roman"/>
          <w:sz w:val="24"/>
          <w:szCs w:val="24"/>
        </w:rPr>
        <w:t>inancial hardship.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 xml:space="preserve"> “I think this is about where it</w:t>
      </w:r>
      <w:r w:rsidR="00C71878" w:rsidRPr="002A050F">
        <w:rPr>
          <w:rFonts w:ascii="Times New Roman" w:eastAsia="Times New Roman" w:hAnsi="Times New Roman" w:cs="Times New Roman"/>
          <w:sz w:val="24"/>
          <w:szCs w:val="24"/>
        </w:rPr>
        <w:t xml:space="preserve"> should be as it is REALLY hard to student teach, for zero money, live in a strange place and get finished.”</w:t>
      </w:r>
    </w:p>
    <w:p w:rsidR="00E02505" w:rsidRPr="002A050F" w:rsidRDefault="008F0548" w:rsidP="002A050F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bookmarkStart w:id="5" w:name="h.vwy022ir3kug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Deterrent 4-Credentialing process</w:t>
      </w:r>
      <w:r w:rsidR="00C71878" w:rsidRPr="002A050F">
        <w:rPr>
          <w:rFonts w:ascii="Times New Roman" w:eastAsia="Times New Roman" w:hAnsi="Times New Roman" w:cs="Times New Roman"/>
          <w:sz w:val="24"/>
          <w:szCs w:val="24"/>
        </w:rPr>
        <w:t xml:space="preserve"> perce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as "burdensome.” </w:t>
      </w:r>
      <w:r w:rsidR="00C71878" w:rsidRPr="002A050F">
        <w:rPr>
          <w:rFonts w:ascii="Times New Roman" w:eastAsia="Times New Roman" w:hAnsi="Times New Roman" w:cs="Times New Roman"/>
          <w:sz w:val="24"/>
          <w:szCs w:val="24"/>
        </w:rPr>
        <w:t xml:space="preserve"> “If the process was not so burdensome I believe that job offers from the industry would be less of a factor.”</w:t>
      </w:r>
    </w:p>
    <w:p w:rsidR="001E1F1C" w:rsidRPr="002A050F" w:rsidRDefault="00C71878" w:rsidP="002A050F">
      <w:pPr>
        <w:spacing w:after="0" w:line="240" w:lineRule="auto"/>
        <w:ind w:left="1170" w:hanging="1170"/>
        <w:rPr>
          <w:rFonts w:ascii="Times New Roman" w:eastAsia="Times New Roman" w:hAnsi="Times New Roman" w:cs="Times New Roman"/>
          <w:sz w:val="24"/>
          <w:szCs w:val="24"/>
        </w:rPr>
      </w:pPr>
      <w:bookmarkStart w:id="6" w:name="h.hc25hq8lau6u" w:colFirst="0" w:colLast="0"/>
      <w:bookmarkEnd w:id="6"/>
      <w:r w:rsidRPr="002A050F">
        <w:rPr>
          <w:rFonts w:ascii="Times New Roman" w:eastAsia="Times New Roman" w:hAnsi="Times New Roman" w:cs="Times New Roman"/>
          <w:sz w:val="24"/>
          <w:szCs w:val="24"/>
        </w:rPr>
        <w:t>Deterrent 5-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to meet 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credential program requirements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“Most of the candidates know well in advance that they are not eligible based on an obstacle [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>i.e.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: grade point average requirement, difficulty of required coursework]. They often self-select out well before student teaching.”</w:t>
      </w:r>
    </w:p>
    <w:p w:rsidR="00447CEF" w:rsidRPr="002A050F" w:rsidRDefault="00447CEF" w:rsidP="002A050F">
      <w:pPr>
        <w:spacing w:after="0" w:line="240" w:lineRule="auto"/>
        <w:ind w:left="1170" w:hanging="1170"/>
        <w:rPr>
          <w:rFonts w:ascii="Times New Roman" w:eastAsia="Times New Roman" w:hAnsi="Times New Roman" w:cs="Times New Roman"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Conclusions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F1C" w:rsidRPr="002A050F" w:rsidRDefault="00C71878" w:rsidP="002A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Most stakeholders agree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top five </w:t>
      </w:r>
      <w:r w:rsidR="00A01741">
        <w:rPr>
          <w:rFonts w:ascii="Times New Roman" w:eastAsia="Times New Roman" w:hAnsi="Times New Roman" w:cs="Times New Roman"/>
          <w:sz w:val="24"/>
          <w:szCs w:val="24"/>
        </w:rPr>
        <w:t>deterrents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, although not particularly in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. Several commented on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overlap of 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eterrents 2, 4, and 5. 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It is difficult to pinpoint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why students accept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 job offers from industry.  Fi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nancial considerations of student teaching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burdensome requirements of the credential program may play a role in 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decision not to pursue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a credential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. Most agreed scholarships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financial i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 xml:space="preserve">ncentives need to be maintained and/or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increased, especially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during the student teaching process. 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redentiali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 needs to be streamlined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with special consi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deration to maintain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q</w:t>
      </w:r>
      <w:r w:rsidR="00E12C2B">
        <w:rPr>
          <w:rFonts w:ascii="Times New Roman" w:eastAsia="Times New Roman" w:hAnsi="Times New Roman" w:cs="Times New Roman"/>
          <w:sz w:val="24"/>
          <w:szCs w:val="24"/>
        </w:rPr>
        <w:t xml:space="preserve">uality. Finally,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Social Cognitive Career Th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eory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 xml:space="preserve"> suggests (Lent et al, 1994)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, students need regular,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continued exposure to the idea of pursuing agricu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>ltural education as a career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starting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>in high school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47CEF" w:rsidRPr="002A050F">
        <w:rPr>
          <w:rFonts w:ascii="Times New Roman" w:eastAsia="Times New Roman" w:hAnsi="Times New Roman" w:cs="Times New Roman"/>
          <w:sz w:val="24"/>
          <w:szCs w:val="24"/>
        </w:rPr>
        <w:t xml:space="preserve">continuing during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their college career.  T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alents and passions developed during school will affect career choice.</w:t>
      </w:r>
    </w:p>
    <w:p w:rsidR="00447CEF" w:rsidRPr="002A050F" w:rsidRDefault="00447CEF" w:rsidP="002A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05" w:rsidRPr="002F5BD8" w:rsidRDefault="00C71878" w:rsidP="002A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Implications/</w:t>
      </w:r>
      <w:r w:rsidR="005120C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ecom</w:t>
      </w:r>
      <w:r w:rsidR="001E1F1C" w:rsidRPr="002F5BD8">
        <w:rPr>
          <w:rFonts w:ascii="Times New Roman" w:eastAsia="Times New Roman" w:hAnsi="Times New Roman" w:cs="Times New Roman"/>
          <w:b/>
          <w:sz w:val="24"/>
          <w:szCs w:val="24"/>
        </w:rPr>
        <w:t>mendations/</w:t>
      </w:r>
      <w:r w:rsidR="005120C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1F1C" w:rsidRPr="002F5BD8">
        <w:rPr>
          <w:rFonts w:ascii="Times New Roman" w:eastAsia="Times New Roman" w:hAnsi="Times New Roman" w:cs="Times New Roman"/>
          <w:b/>
          <w:sz w:val="24"/>
          <w:szCs w:val="24"/>
        </w:rPr>
        <w:t xml:space="preserve">mpact </w:t>
      </w:r>
      <w:r w:rsidRPr="002F5BD8">
        <w:rPr>
          <w:rFonts w:ascii="Times New Roman" w:eastAsia="Times New Roman" w:hAnsi="Times New Roman" w:cs="Times New Roman"/>
          <w:b/>
          <w:sz w:val="24"/>
          <w:szCs w:val="24"/>
        </w:rPr>
        <w:t>on profession</w:t>
      </w:r>
    </w:p>
    <w:p w:rsidR="008F0548" w:rsidRPr="002A050F" w:rsidRDefault="008F0548" w:rsidP="002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BD8" w:rsidRDefault="00C71878" w:rsidP="002F5B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50F">
        <w:rPr>
          <w:rFonts w:ascii="Times New Roman" w:eastAsia="Times New Roman" w:hAnsi="Times New Roman" w:cs="Times New Roman"/>
          <w:sz w:val="24"/>
          <w:szCs w:val="24"/>
        </w:rPr>
        <w:t>Further stud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 xml:space="preserve">ies are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>recommended to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determin</w:t>
      </w:r>
      <w:r w:rsidR="00A37C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 xml:space="preserve">agriculture credential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requirements 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>can be reduced and to 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xam</w:t>
      </w:r>
      <w:r w:rsidR="001E1F1C" w:rsidRPr="002A050F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students who choose to enter the industry as opposed to </w:t>
      </w:r>
      <w:r w:rsidR="005120C2">
        <w:rPr>
          <w:rFonts w:ascii="Times New Roman" w:eastAsia="Times New Roman" w:hAnsi="Times New Roman" w:cs="Times New Roman"/>
          <w:sz w:val="24"/>
          <w:szCs w:val="24"/>
        </w:rPr>
        <w:t>completing a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 credential program.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 xml:space="preserve">Additionally, further research should be conducted to determine effective methods to identify and nurture 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students with an interest or propensity to teach agric</w:t>
      </w:r>
      <w:r w:rsidR="002F5BD8">
        <w:rPr>
          <w:rFonts w:ascii="Times New Roman" w:eastAsia="Times New Roman" w:hAnsi="Times New Roman" w:cs="Times New Roman"/>
          <w:sz w:val="24"/>
          <w:szCs w:val="24"/>
        </w:rPr>
        <w:t xml:space="preserve">ulture, as well as </w:t>
      </w:r>
      <w:r w:rsidRPr="002A050F">
        <w:rPr>
          <w:rFonts w:ascii="Times New Roman" w:eastAsia="Times New Roman" w:hAnsi="Times New Roman" w:cs="Times New Roman"/>
          <w:sz w:val="24"/>
          <w:szCs w:val="24"/>
        </w:rPr>
        <w:t>how teacher preparation programs can work with them to move them</w:t>
      </w:r>
      <w:r w:rsidR="008F0548">
        <w:rPr>
          <w:rFonts w:ascii="Times New Roman" w:eastAsia="Times New Roman" w:hAnsi="Times New Roman" w:cs="Times New Roman"/>
          <w:sz w:val="24"/>
          <w:szCs w:val="24"/>
        </w:rPr>
        <w:t xml:space="preserve"> through the credential process.</w:t>
      </w:r>
    </w:p>
    <w:p w:rsidR="00A37C3D" w:rsidRDefault="00A37C3D" w:rsidP="002F5B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2505" w:rsidRPr="002F5BD8" w:rsidRDefault="00C71878" w:rsidP="002F5B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References</w:t>
      </w:r>
    </w:p>
    <w:p w:rsidR="00E02505" w:rsidRPr="00383EFD" w:rsidRDefault="00E02505" w:rsidP="00AF709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F22CF" w:rsidRDefault="00383EFD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383EFD">
        <w:rPr>
          <w:rFonts w:ascii="Times New Roman" w:hAnsi="Times New Roman" w:cs="Times New Roman"/>
          <w:color w:val="auto"/>
          <w:sz w:val="24"/>
          <w:szCs w:val="24"/>
        </w:rPr>
        <w:t>Dalk</w:t>
      </w:r>
      <w:r w:rsidR="008F054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F22CF">
        <w:rPr>
          <w:rFonts w:ascii="Times New Roman" w:hAnsi="Times New Roman" w:cs="Times New Roman"/>
          <w:color w:val="auto"/>
          <w:sz w:val="24"/>
          <w:szCs w:val="24"/>
        </w:rPr>
        <w:t>y</w:t>
      </w:r>
      <w:proofErr w:type="spellEnd"/>
      <w:r w:rsidR="009F22CF">
        <w:rPr>
          <w:rFonts w:ascii="Times New Roman" w:hAnsi="Times New Roman" w:cs="Times New Roman"/>
          <w:color w:val="auto"/>
          <w:sz w:val="24"/>
          <w:szCs w:val="24"/>
        </w:rPr>
        <w:t xml:space="preserve">, N.  (1969).  </w:t>
      </w:r>
      <w:r w:rsidRPr="00383EFD">
        <w:rPr>
          <w:rFonts w:ascii="Times New Roman" w:hAnsi="Times New Roman" w:cs="Times New Roman"/>
          <w:color w:val="auto"/>
          <w:sz w:val="24"/>
          <w:szCs w:val="24"/>
        </w:rPr>
        <w:t>An experi</w:t>
      </w:r>
      <w:r w:rsidR="009F22CF">
        <w:rPr>
          <w:rFonts w:ascii="Times New Roman" w:hAnsi="Times New Roman" w:cs="Times New Roman"/>
          <w:color w:val="auto"/>
          <w:sz w:val="24"/>
          <w:szCs w:val="24"/>
        </w:rPr>
        <w:t xml:space="preserve">mental study of group opinion:  The Delphi method.  </w:t>
      </w:r>
      <w:r w:rsidRPr="00383EFD">
        <w:rPr>
          <w:rFonts w:ascii="Times New Roman" w:hAnsi="Times New Roman" w:cs="Times New Roman"/>
          <w:i/>
          <w:iCs/>
          <w:color w:val="auto"/>
          <w:sz w:val="24"/>
          <w:szCs w:val="24"/>
        </w:rPr>
        <w:t>Futures, 1</w:t>
      </w:r>
      <w:r w:rsidR="009F22CF">
        <w:rPr>
          <w:rFonts w:ascii="Times New Roman" w:hAnsi="Times New Roman" w:cs="Times New Roman"/>
          <w:color w:val="auto"/>
          <w:sz w:val="24"/>
          <w:szCs w:val="24"/>
        </w:rPr>
        <w:t>(5</w:t>
      </w:r>
      <w:r w:rsidR="00A01741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9F22CF">
        <w:rPr>
          <w:rFonts w:ascii="Times New Roman" w:hAnsi="Times New Roman" w:cs="Times New Roman"/>
          <w:color w:val="auto"/>
          <w:sz w:val="24"/>
          <w:szCs w:val="24"/>
        </w:rPr>
        <w:t xml:space="preserve">408-426.  </w:t>
      </w:r>
      <w:proofErr w:type="gramStart"/>
      <w:r w:rsidRPr="00383E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doi:</w:t>
      </w:r>
      <w:proofErr w:type="gramEnd"/>
      <w:r w:rsidRPr="00383E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10.1016/S0016-3287(69)80025-X</w:t>
      </w:r>
    </w:p>
    <w:p w:rsidR="009F22CF" w:rsidRDefault="009F22CF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2505" w:rsidRPr="00383EFD" w:rsidRDefault="00C71878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Delbecq</w:t>
      </w:r>
      <w:proofErr w:type="spell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A.L., Van de </w:t>
      </w:r>
      <w:proofErr w:type="spell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Ven</w:t>
      </w:r>
      <w:proofErr w:type="spell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A.H., &amp; Gustafson, D.H. 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(1975). Group techniques for program planning.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Glenview, IL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>L.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Scott </w:t>
      </w:r>
      <w:proofErr w:type="spell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Fore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man</w:t>
      </w:r>
      <w:proofErr w:type="spellEnd"/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02505" w:rsidRPr="00383EFD" w:rsidRDefault="00E02505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Pr="00383EFD" w:rsidRDefault="00C71878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Doerfert</w:t>
      </w:r>
      <w:proofErr w:type="spell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D. L. (Ed.) (2011). 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National research agenda: </w:t>
      </w:r>
      <w:r w:rsidR="006131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American Association for Agricultural Education’s research priority areas and initiatives 2011-2015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Lubbock, TX: Texas Tech University, Department of Agricultural Education and Communications.</w:t>
      </w:r>
    </w:p>
    <w:p w:rsidR="00E02505" w:rsidRPr="00383EFD" w:rsidRDefault="00E02505" w:rsidP="002A050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Default="00C71878" w:rsidP="002A05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Foster, D.D., Lawver, R.G., &amp; Smith, A.R. (2014).  National agricultural education supply &amp; demand study.  Retrieved from </w:t>
      </w:r>
      <w:r w:rsidR="00613170" w:rsidRPr="0061317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http://aaaeonline.org/Resources/Documents/NSD Summary_3_1_2015_Final.pdf</w:t>
      </w:r>
    </w:p>
    <w:p w:rsidR="00613170" w:rsidRPr="00383EFD" w:rsidRDefault="00613170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13170" w:rsidRPr="00383EFD" w:rsidRDefault="00613170" w:rsidP="00613170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Lent, R. W., Brown, S.D. &amp; Hackett, </w:t>
      </w:r>
      <w:proofErr w:type="gram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proofErr w:type="gram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  (1994)</w:t>
      </w:r>
      <w:proofErr w:type="gram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Toward</w:t>
      </w:r>
      <w:proofErr w:type="gram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unified social cognitive theory of career/academic interest, choice, and performance. 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Vocational Behavior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[Monograph],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45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, 79-122.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doi:1006/jvbe.1994.1027</w:t>
      </w:r>
    </w:p>
    <w:p w:rsidR="00E02505" w:rsidRPr="00383EFD" w:rsidRDefault="00E02505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Pr="00383EFD" w:rsidRDefault="00C71878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Lent, R.W., Brown, S.D., &amp; Hackett, G.  (2000)</w:t>
      </w:r>
      <w:proofErr w:type="gram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  Contextual</w:t>
      </w:r>
      <w:proofErr w:type="gram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supports and barriers to career choice: A social cognitive analysis. 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Counseling Psychology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47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, 36</w:t>
      </w:r>
      <w:r w:rsidRPr="00383EFD">
        <w:rPr>
          <w:rFonts w:ascii="MS Mincho" w:eastAsia="MS Mincho" w:hAnsi="MS Mincho" w:cs="MS Mincho" w:hint="eastAsia"/>
          <w:color w:val="auto"/>
          <w:sz w:val="24"/>
          <w:szCs w:val="24"/>
        </w:rPr>
        <w:t>‑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49.</w:t>
      </w:r>
      <w:r w:rsidR="009F22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doi:10.1037/0022-0167.47.1.36</w:t>
      </w:r>
    </w:p>
    <w:p w:rsidR="00E02505" w:rsidRPr="00383EFD" w:rsidRDefault="00E02505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Pr="00383EFD" w:rsidRDefault="00C71878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Lent, R.W., Brown, S.D., &amp; Hackett, G.  (2002)</w:t>
      </w:r>
      <w:proofErr w:type="gram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Social</w:t>
      </w:r>
      <w:proofErr w:type="gram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cognitive career theory (p. 255-311). </w:t>
      </w:r>
    </w:p>
    <w:p w:rsidR="00E02505" w:rsidRPr="00383EFD" w:rsidRDefault="00C71878" w:rsidP="002A050F">
      <w:pPr>
        <w:spacing w:after="0" w:line="240" w:lineRule="auto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D. Brown, L. Brooks, and Associates, </w:t>
      </w:r>
      <w:r w:rsidRPr="00383E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Career choice and development</w:t>
      </w: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(4th Ed.). </w:t>
      </w:r>
    </w:p>
    <w:p w:rsidR="00E02505" w:rsidRPr="00383EFD" w:rsidRDefault="00C71878" w:rsidP="002A050F">
      <w:pPr>
        <w:spacing w:after="0" w:line="240" w:lineRule="auto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San Francisco, CA:  </w:t>
      </w:r>
      <w:proofErr w:type="spellStart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Jossey</w:t>
      </w:r>
      <w:proofErr w:type="spellEnd"/>
      <w:r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-Bass.</w:t>
      </w:r>
    </w:p>
    <w:p w:rsidR="00E02505" w:rsidRPr="00383EFD" w:rsidRDefault="00E02505" w:rsidP="0061317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Pr="00383EFD" w:rsidRDefault="00A37C3D" w:rsidP="002A050F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California</w:t>
      </w:r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Agricultural Teachers Association.  (2016)</w:t>
      </w:r>
      <w:proofErr w:type="gramStart"/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  Meet</w:t>
      </w:r>
      <w:proofErr w:type="gramEnd"/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California</w:t>
      </w:r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ficers.  Retrieved from http://cal</w:t>
      </w:r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agteachers.org/MeetOfficers.html</w:t>
      </w:r>
    </w:p>
    <w:p w:rsidR="00E02505" w:rsidRDefault="00E02505" w:rsidP="002A050F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13170" w:rsidRPr="002F5BD8" w:rsidRDefault="00A37C3D" w:rsidP="0061317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California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Department of Education.  (2015)</w:t>
      </w:r>
      <w:proofErr w:type="gramStart"/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>.  History</w:t>
      </w:r>
      <w:proofErr w:type="gramEnd"/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available agricultural education student t</w:t>
      </w:r>
      <w:r w:rsidR="00613170" w:rsidRPr="002F5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eachers from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California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university teacher preparation i</w:t>
      </w:r>
      <w:r w:rsidR="00613170" w:rsidRPr="002F5BD8">
        <w:rPr>
          <w:rFonts w:ascii="Times New Roman" w:eastAsia="Times New Roman" w:hAnsi="Times New Roman" w:cs="Times New Roman"/>
          <w:color w:val="auto"/>
          <w:sz w:val="24"/>
          <w:szCs w:val="24"/>
        </w:rPr>
        <w:t>nstitutions</w:t>
      </w:r>
      <w:r w:rsidR="006131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:rsidR="00613170" w:rsidRPr="00383EFD" w:rsidRDefault="00613170" w:rsidP="002A050F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02505" w:rsidRDefault="00A37C3D" w:rsidP="002A05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California</w:t>
      </w:r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Department of Education.  (2016)</w:t>
      </w:r>
      <w:proofErr w:type="gramStart"/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  2015</w:t>
      </w:r>
      <w:proofErr w:type="gramEnd"/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–16 Agricultural career technical education incentive grant.  Retrieved from http://www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.cde.ca</w:t>
      </w:r>
      <w:r w:rsidR="00C71878" w:rsidRPr="00383EFD">
        <w:rPr>
          <w:rFonts w:ascii="Times New Roman" w:eastAsia="Times New Roman" w:hAnsi="Times New Roman" w:cs="Times New Roman"/>
          <w:color w:val="auto"/>
          <w:sz w:val="24"/>
          <w:szCs w:val="24"/>
        </w:rPr>
        <w:t>.gov/fg/fo/r17/ agin15cov.asp</w:t>
      </w:r>
    </w:p>
    <w:p w:rsidR="002F5BD8" w:rsidRDefault="002F5BD8" w:rsidP="002A05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02505" w:rsidRPr="00383EFD" w:rsidRDefault="00E02505" w:rsidP="002A050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02505" w:rsidRPr="00383EF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4B" w:rsidRDefault="00E2254B">
      <w:pPr>
        <w:spacing w:after="0" w:line="240" w:lineRule="auto"/>
      </w:pPr>
      <w:r>
        <w:separator/>
      </w:r>
    </w:p>
  </w:endnote>
  <w:endnote w:type="continuationSeparator" w:id="0">
    <w:p w:rsidR="00E2254B" w:rsidRDefault="00E2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05" w:rsidRDefault="00E0250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4B" w:rsidRDefault="00E2254B">
      <w:pPr>
        <w:spacing w:after="0" w:line="240" w:lineRule="auto"/>
      </w:pPr>
      <w:r>
        <w:separator/>
      </w:r>
    </w:p>
  </w:footnote>
  <w:footnote w:type="continuationSeparator" w:id="0">
    <w:p w:rsidR="00E2254B" w:rsidRDefault="00E2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05" w:rsidRDefault="00E02505" w:rsidP="00383EFD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05" w:rsidRDefault="00E02505">
    <w:pPr>
      <w:tabs>
        <w:tab w:val="left" w:pos="99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5"/>
    <w:rsid w:val="00041405"/>
    <w:rsid w:val="001E1F1C"/>
    <w:rsid w:val="00204C53"/>
    <w:rsid w:val="00290992"/>
    <w:rsid w:val="002A050F"/>
    <w:rsid w:val="002F5BD8"/>
    <w:rsid w:val="00383EFD"/>
    <w:rsid w:val="003F225A"/>
    <w:rsid w:val="00447CEF"/>
    <w:rsid w:val="004A0C60"/>
    <w:rsid w:val="005120C2"/>
    <w:rsid w:val="00520590"/>
    <w:rsid w:val="00613170"/>
    <w:rsid w:val="0066510B"/>
    <w:rsid w:val="007D275A"/>
    <w:rsid w:val="007E1D24"/>
    <w:rsid w:val="008F0548"/>
    <w:rsid w:val="009A26A6"/>
    <w:rsid w:val="009B75EE"/>
    <w:rsid w:val="009F22CF"/>
    <w:rsid w:val="00A00923"/>
    <w:rsid w:val="00A01741"/>
    <w:rsid w:val="00A37C3D"/>
    <w:rsid w:val="00A608BF"/>
    <w:rsid w:val="00AF7091"/>
    <w:rsid w:val="00B30E49"/>
    <w:rsid w:val="00BE0FE2"/>
    <w:rsid w:val="00C52C84"/>
    <w:rsid w:val="00C71878"/>
    <w:rsid w:val="00D75224"/>
    <w:rsid w:val="00E02505"/>
    <w:rsid w:val="00E12C2B"/>
    <w:rsid w:val="00E17D92"/>
    <w:rsid w:val="00E2254B"/>
    <w:rsid w:val="00F21552"/>
    <w:rsid w:val="00FA16A2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55644-8288-4FD8-A854-D960EA1C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sz w:val="41"/>
      <w:szCs w:val="41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1C"/>
  </w:style>
  <w:style w:type="paragraph" w:styleId="Footer">
    <w:name w:val="footer"/>
    <w:basedOn w:val="Normal"/>
    <w:link w:val="FooterChar"/>
    <w:uiPriority w:val="99"/>
    <w:unhideWhenUsed/>
    <w:rsid w:val="001E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1C"/>
  </w:style>
  <w:style w:type="character" w:styleId="Hyperlink">
    <w:name w:val="Hyperlink"/>
    <w:basedOn w:val="DefaultParagraphFont"/>
    <w:uiPriority w:val="99"/>
    <w:unhideWhenUsed/>
    <w:rsid w:val="002F5B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A2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Gorter</dc:creator>
  <cp:lastModifiedBy>Erin Gorter</cp:lastModifiedBy>
  <cp:revision>3</cp:revision>
  <dcterms:created xsi:type="dcterms:W3CDTF">2016-09-01T17:49:00Z</dcterms:created>
  <dcterms:modified xsi:type="dcterms:W3CDTF">2016-09-01T17:52:00Z</dcterms:modified>
</cp:coreProperties>
</file>