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53" w:rsidRDefault="00804353" w:rsidP="002E48FF">
      <w:pPr>
        <w:pStyle w:val="NoSpacing"/>
        <w:jc w:val="center"/>
        <w:rPr>
          <w:b/>
        </w:rPr>
      </w:pPr>
    </w:p>
    <w:p w:rsidR="00804353" w:rsidRDefault="00804353" w:rsidP="002E48FF">
      <w:pPr>
        <w:pStyle w:val="NoSpacing"/>
        <w:jc w:val="center"/>
        <w:rPr>
          <w:b/>
        </w:rPr>
      </w:pPr>
    </w:p>
    <w:p w:rsidR="00804353" w:rsidRDefault="00804353" w:rsidP="002E48FF">
      <w:pPr>
        <w:pStyle w:val="NoSpacing"/>
        <w:jc w:val="center"/>
        <w:rPr>
          <w:b/>
        </w:rPr>
      </w:pPr>
    </w:p>
    <w:p w:rsidR="00804353" w:rsidRDefault="00804353" w:rsidP="002E48FF">
      <w:pPr>
        <w:pStyle w:val="NoSpacing"/>
        <w:jc w:val="center"/>
        <w:rPr>
          <w:b/>
        </w:rPr>
      </w:pPr>
    </w:p>
    <w:p w:rsidR="00804353" w:rsidRDefault="00804353" w:rsidP="002E48FF">
      <w:pPr>
        <w:pStyle w:val="NoSpacing"/>
        <w:jc w:val="center"/>
        <w:rPr>
          <w:b/>
        </w:rPr>
      </w:pPr>
      <w:r>
        <w:rPr>
          <w:b/>
        </w:rPr>
        <w:t>The Relationship Between Motivation to Learn and Self-Regulated Learning</w:t>
      </w:r>
    </w:p>
    <w:p w:rsidR="00817768" w:rsidRDefault="00817768" w:rsidP="002E48FF">
      <w:pPr>
        <w:pStyle w:val="NoSpacing"/>
        <w:jc w:val="center"/>
        <w:rPr>
          <w:b/>
        </w:rPr>
      </w:pPr>
    </w:p>
    <w:p w:rsidR="00817768" w:rsidRDefault="00817768" w:rsidP="002E48FF">
      <w:pPr>
        <w:pStyle w:val="NoSpacing"/>
        <w:jc w:val="center"/>
        <w:rPr>
          <w:b/>
        </w:rPr>
      </w:pPr>
    </w:p>
    <w:p w:rsidR="00817768" w:rsidRDefault="00817768" w:rsidP="002E48FF">
      <w:pPr>
        <w:pStyle w:val="NoSpacing"/>
        <w:jc w:val="center"/>
        <w:rPr>
          <w:b/>
        </w:rPr>
      </w:pPr>
    </w:p>
    <w:p w:rsidR="00817768" w:rsidRDefault="00817768" w:rsidP="002E48FF">
      <w:pPr>
        <w:pStyle w:val="NoSpacing"/>
        <w:jc w:val="center"/>
        <w:rPr>
          <w:b/>
        </w:rPr>
      </w:pPr>
    </w:p>
    <w:p w:rsidR="00817768" w:rsidRDefault="00817768" w:rsidP="002E48FF">
      <w:pPr>
        <w:pStyle w:val="NoSpacing"/>
        <w:jc w:val="center"/>
        <w:rPr>
          <w:b/>
        </w:rPr>
      </w:pPr>
    </w:p>
    <w:p w:rsidR="00817768" w:rsidRDefault="00817768" w:rsidP="002E48FF">
      <w:pPr>
        <w:pStyle w:val="NoSpacing"/>
        <w:jc w:val="center"/>
      </w:pPr>
      <w:r>
        <w:t>Marshall Swafford</w:t>
      </w:r>
    </w:p>
    <w:p w:rsidR="00817768" w:rsidRDefault="00817768" w:rsidP="002E48FF">
      <w:pPr>
        <w:pStyle w:val="NoSpacing"/>
        <w:jc w:val="center"/>
      </w:pPr>
      <w:r>
        <w:t>Assistant Professor</w:t>
      </w:r>
    </w:p>
    <w:p w:rsidR="00817768" w:rsidRDefault="00817768" w:rsidP="002E48FF">
      <w:pPr>
        <w:pStyle w:val="NoSpacing"/>
        <w:jc w:val="center"/>
      </w:pPr>
      <w:r>
        <w:t>Eastern New Mexico University</w:t>
      </w:r>
    </w:p>
    <w:p w:rsidR="00817768" w:rsidRDefault="00817768" w:rsidP="002E48FF">
      <w:pPr>
        <w:pStyle w:val="NoSpacing"/>
        <w:jc w:val="center"/>
      </w:pPr>
      <w:r>
        <w:t>112B Agriculture Building</w:t>
      </w:r>
    </w:p>
    <w:p w:rsidR="00817768" w:rsidRDefault="00817768" w:rsidP="002E48FF">
      <w:pPr>
        <w:pStyle w:val="NoSpacing"/>
        <w:jc w:val="center"/>
      </w:pPr>
      <w:r>
        <w:t>Portales, NM 88130</w:t>
      </w:r>
    </w:p>
    <w:p w:rsidR="00817768" w:rsidRDefault="00817768" w:rsidP="00817768">
      <w:pPr>
        <w:pStyle w:val="NoSpacing"/>
        <w:jc w:val="center"/>
      </w:pPr>
      <w:r w:rsidRPr="00817768">
        <w:t>marshall.swafford@enmu.edu</w:t>
      </w:r>
    </w:p>
    <w:p w:rsidR="00817768" w:rsidRDefault="00817768" w:rsidP="00817768">
      <w:pPr>
        <w:pStyle w:val="NoSpacing"/>
        <w:jc w:val="center"/>
      </w:pPr>
    </w:p>
    <w:p w:rsidR="00817768" w:rsidRDefault="00817768" w:rsidP="00817768">
      <w:pPr>
        <w:pStyle w:val="NoSpacing"/>
        <w:jc w:val="center"/>
      </w:pPr>
    </w:p>
    <w:p w:rsidR="00817768" w:rsidRDefault="00817768" w:rsidP="00817768">
      <w:pPr>
        <w:pStyle w:val="NoSpacing"/>
        <w:jc w:val="center"/>
      </w:pPr>
    </w:p>
    <w:p w:rsidR="00817768" w:rsidRDefault="00817768" w:rsidP="00817768">
      <w:pPr>
        <w:pStyle w:val="NoSpacing"/>
        <w:jc w:val="center"/>
      </w:pPr>
    </w:p>
    <w:p w:rsidR="00817768" w:rsidRDefault="00817768" w:rsidP="00817768">
      <w:pPr>
        <w:pStyle w:val="NoSpacing"/>
        <w:jc w:val="center"/>
      </w:pPr>
      <w:r>
        <w:t>Kassie Waller</w:t>
      </w:r>
    </w:p>
    <w:p w:rsidR="00817768" w:rsidRDefault="00817768" w:rsidP="00817768">
      <w:pPr>
        <w:pStyle w:val="NoSpacing"/>
        <w:jc w:val="center"/>
      </w:pPr>
      <w:r>
        <w:t>Undergraduate Research Assistant</w:t>
      </w:r>
    </w:p>
    <w:p w:rsidR="00817768" w:rsidRDefault="00817768" w:rsidP="00817768">
      <w:pPr>
        <w:pStyle w:val="NoSpacing"/>
        <w:jc w:val="center"/>
      </w:pPr>
      <w:r>
        <w:t>Eastern New Mexico University</w:t>
      </w:r>
    </w:p>
    <w:p w:rsidR="00817768" w:rsidRDefault="00817768" w:rsidP="00817768">
      <w:pPr>
        <w:pStyle w:val="NoSpacing"/>
        <w:jc w:val="center"/>
      </w:pPr>
      <w:r>
        <w:t>112B Agriculture Building</w:t>
      </w:r>
    </w:p>
    <w:p w:rsidR="00817768" w:rsidRDefault="00817768" w:rsidP="00817768">
      <w:pPr>
        <w:pStyle w:val="NoSpacing"/>
        <w:jc w:val="center"/>
      </w:pPr>
      <w:r>
        <w:t>Portales, NM 88130</w:t>
      </w:r>
    </w:p>
    <w:p w:rsidR="00817768" w:rsidRPr="00817768" w:rsidRDefault="00817768" w:rsidP="00817768">
      <w:pPr>
        <w:pStyle w:val="NoSpacing"/>
        <w:jc w:val="center"/>
      </w:pPr>
      <w:r>
        <w:t>k</w:t>
      </w:r>
      <w:bookmarkStart w:id="0" w:name="_GoBack"/>
      <w:bookmarkEnd w:id="0"/>
      <w:r>
        <w:t>assie.waller@enmu.edu</w:t>
      </w:r>
    </w:p>
    <w:p w:rsidR="00817768" w:rsidRDefault="00817768" w:rsidP="002E48FF">
      <w:pPr>
        <w:pStyle w:val="NoSpacing"/>
        <w:jc w:val="center"/>
        <w:rPr>
          <w:b/>
        </w:rPr>
      </w:pPr>
    </w:p>
    <w:p w:rsidR="00817768" w:rsidRDefault="00817768" w:rsidP="002E48FF">
      <w:pPr>
        <w:pStyle w:val="NoSpacing"/>
        <w:jc w:val="center"/>
        <w:rPr>
          <w:b/>
        </w:rPr>
      </w:pPr>
    </w:p>
    <w:p w:rsidR="00817768" w:rsidRDefault="00817768" w:rsidP="002E48FF">
      <w:pPr>
        <w:pStyle w:val="NoSpacing"/>
        <w:jc w:val="center"/>
        <w:rPr>
          <w:b/>
        </w:rPr>
      </w:pPr>
    </w:p>
    <w:p w:rsidR="00817768" w:rsidRDefault="00817768" w:rsidP="002E48FF">
      <w:pPr>
        <w:pStyle w:val="NoSpacing"/>
        <w:jc w:val="center"/>
        <w:rPr>
          <w:b/>
        </w:rPr>
      </w:pPr>
    </w:p>
    <w:p w:rsidR="00817768" w:rsidRDefault="00817768" w:rsidP="002E48FF">
      <w:pPr>
        <w:pStyle w:val="NoSpacing"/>
        <w:jc w:val="center"/>
        <w:rPr>
          <w:b/>
        </w:rPr>
      </w:pPr>
    </w:p>
    <w:p w:rsidR="00804353" w:rsidRDefault="00804353">
      <w:pPr>
        <w:rPr>
          <w:b/>
        </w:rPr>
      </w:pPr>
    </w:p>
    <w:p w:rsidR="00804353" w:rsidRDefault="00804353">
      <w:pPr>
        <w:rPr>
          <w:b/>
        </w:rPr>
      </w:pPr>
    </w:p>
    <w:p w:rsidR="00804353" w:rsidRDefault="00817768" w:rsidP="00817768">
      <w:pPr>
        <w:pStyle w:val="NoSpacing"/>
        <w:jc w:val="center"/>
      </w:pPr>
      <w:r>
        <w:br w:type="page"/>
      </w:r>
    </w:p>
    <w:p w:rsidR="00495496" w:rsidRDefault="00495496" w:rsidP="00495496">
      <w:pPr>
        <w:pStyle w:val="NoSpacing"/>
        <w:jc w:val="center"/>
        <w:rPr>
          <w:b/>
        </w:rPr>
      </w:pPr>
      <w:r w:rsidRPr="00DF2E1B">
        <w:rPr>
          <w:b/>
        </w:rPr>
        <w:t>Introduction</w:t>
      </w:r>
      <w:r w:rsidR="005D74F8" w:rsidRPr="00DF2E1B">
        <w:rPr>
          <w:b/>
        </w:rPr>
        <w:t xml:space="preserve">/Need for Research </w:t>
      </w:r>
    </w:p>
    <w:p w:rsidR="000C05E7" w:rsidRDefault="00EB431F" w:rsidP="000C05E7">
      <w:pPr>
        <w:pStyle w:val="NoSpacing"/>
      </w:pPr>
      <w:r>
        <w:tab/>
      </w:r>
      <w:r w:rsidR="00600FE6">
        <w:t xml:space="preserve">Understanding and controlling one’s learning environments is referred to as self-regulated learning </w:t>
      </w:r>
      <w:r w:rsidR="00600FE6" w:rsidRPr="000772BE">
        <w:t>(Schraw, Crippen, &amp; Hartley, 2006</w:t>
      </w:r>
      <w:r w:rsidR="00600FE6">
        <w:t xml:space="preserve">).  </w:t>
      </w:r>
      <w:proofErr w:type="spellStart"/>
      <w:r w:rsidR="00600FE6" w:rsidRPr="000772BE">
        <w:t>Schunk</w:t>
      </w:r>
      <w:proofErr w:type="spellEnd"/>
      <w:r w:rsidR="00600FE6" w:rsidRPr="000772BE">
        <w:t xml:space="preserve"> (1996)</w:t>
      </w:r>
      <w:r w:rsidR="00600FE6">
        <w:t xml:space="preserve"> posited that to increase one’s ability to manage self-regulated learning one must set goals, select strategies to achieve the goals, implement those identified strategies, and monitor the progress toward achieving the goals.  Students with better self-regulation skills typically learn with less effort and indicate increased levels of academic satisfaction </w:t>
      </w:r>
      <w:r w:rsidR="00600FE6" w:rsidRPr="0066114C">
        <w:t>(</w:t>
      </w:r>
      <w:proofErr w:type="spellStart"/>
      <w:r w:rsidR="00600FE6" w:rsidRPr="0066114C">
        <w:t>Pintrich</w:t>
      </w:r>
      <w:proofErr w:type="spellEnd"/>
      <w:r w:rsidR="00600FE6" w:rsidRPr="0066114C">
        <w:t>, 2000; Zimmerman, 2000).</w:t>
      </w:r>
      <w:r w:rsidR="00600FE6">
        <w:t xml:space="preserve">  </w:t>
      </w:r>
      <w:r w:rsidR="000C05E7">
        <w:t xml:space="preserve">How and why a student learns, along with their performance is typically associated with their motivation to learn </w:t>
      </w:r>
      <w:r w:rsidR="000C05E7" w:rsidRPr="0066114C">
        <w:t>(</w:t>
      </w:r>
      <w:proofErr w:type="spellStart"/>
      <w:r w:rsidR="000C05E7" w:rsidRPr="0066114C">
        <w:t>Pintrich</w:t>
      </w:r>
      <w:proofErr w:type="spellEnd"/>
      <w:r w:rsidR="000C05E7" w:rsidRPr="0066114C">
        <w:t xml:space="preserve"> &amp; </w:t>
      </w:r>
      <w:proofErr w:type="spellStart"/>
      <w:r w:rsidR="000C05E7" w:rsidRPr="0066114C">
        <w:t>Schunk</w:t>
      </w:r>
      <w:proofErr w:type="spellEnd"/>
      <w:r w:rsidR="000C05E7" w:rsidRPr="0066114C">
        <w:t>, 1996).</w:t>
      </w:r>
      <w:r w:rsidR="000C05E7">
        <w:t xml:space="preserve">  Motivation was found to be a predictor of student achievement in a course devoted to language acquisition via satellite television </w:t>
      </w:r>
      <w:r w:rsidR="000C05E7" w:rsidRPr="0066114C">
        <w:t xml:space="preserve">(Shih &amp; </w:t>
      </w:r>
      <w:proofErr w:type="spellStart"/>
      <w:r w:rsidR="000C05E7" w:rsidRPr="0066114C">
        <w:t>Gamon</w:t>
      </w:r>
      <w:proofErr w:type="spellEnd"/>
      <w:r w:rsidR="000C05E7" w:rsidRPr="0066114C">
        <w:t>, 2001).</w:t>
      </w:r>
      <w:r w:rsidR="000C05E7">
        <w:t xml:space="preserve">  Schraw, Crippen, &amp; Hartley (2006) argued that “motivation includes beliefs and attitudes that affect the use and development of cognitive and metacognitive skills” (p. 112), which impact one’s self-regulated learning abilities.  Therefore, the primary purpose of this study was to determine the relationship between student motivation to learn and level of online self-regulated learning.  </w:t>
      </w:r>
    </w:p>
    <w:p w:rsidR="000C05E7" w:rsidRDefault="000C05E7" w:rsidP="000C05E7">
      <w:pPr>
        <w:pStyle w:val="NoSpacing"/>
      </w:pPr>
    </w:p>
    <w:p w:rsidR="000C05E7" w:rsidRDefault="000C05E7" w:rsidP="000C05E7">
      <w:pPr>
        <w:pStyle w:val="NoSpacing"/>
        <w:jc w:val="center"/>
        <w:rPr>
          <w:b/>
        </w:rPr>
      </w:pPr>
      <w:r>
        <w:rPr>
          <w:b/>
        </w:rPr>
        <w:t>Theoretical Framework</w:t>
      </w:r>
    </w:p>
    <w:p w:rsidR="000C05E7" w:rsidRDefault="000C05E7" w:rsidP="000C05E7">
      <w:pPr>
        <w:pStyle w:val="NoSpacing"/>
      </w:pPr>
      <w:r>
        <w:tab/>
        <w:t>The theoretical fram</w:t>
      </w:r>
      <w:r w:rsidR="00541CBB">
        <w:t>ework for this study is grounded</w:t>
      </w:r>
      <w:r>
        <w:t xml:space="preserve"> </w:t>
      </w:r>
      <w:r w:rsidRPr="0066114C">
        <w:t>Bandura’s (1986)</w:t>
      </w:r>
      <w:r>
        <w:t xml:space="preserve"> social cognitive theory</w:t>
      </w:r>
      <w:r w:rsidR="00541CBB">
        <w:t xml:space="preserve">, particularly using motivation.  Within the context of social cognitive theory, motivation is defined as an internal state that arouses, directs, and sustains goal-oriented behavior.  Students are more motivated to learn when participating in activities and courses that are meaningful and worthwhile </w:t>
      </w:r>
      <w:r w:rsidR="00541CBB" w:rsidRPr="0066114C">
        <w:t xml:space="preserve">(Glynn &amp; </w:t>
      </w:r>
      <w:proofErr w:type="spellStart"/>
      <w:r w:rsidR="00541CBB" w:rsidRPr="0066114C">
        <w:t>Koballa</w:t>
      </w:r>
      <w:proofErr w:type="spellEnd"/>
      <w:r w:rsidR="00541CBB" w:rsidRPr="0066114C">
        <w:t>, 2006).</w:t>
      </w:r>
      <w:r w:rsidR="00541CBB">
        <w:t xml:space="preserve">  As students become more motivated, their academic achievement increases by their engaging behavior including asking questions, participating laboratory activities, and working in groups </w:t>
      </w:r>
      <w:r w:rsidR="0066114C" w:rsidRPr="0066114C">
        <w:t>(</w:t>
      </w:r>
      <w:proofErr w:type="spellStart"/>
      <w:r w:rsidR="0066114C" w:rsidRPr="0066114C">
        <w:t>Schunk</w:t>
      </w:r>
      <w:proofErr w:type="spellEnd"/>
      <w:r w:rsidR="0066114C" w:rsidRPr="0066114C">
        <w:t xml:space="preserve">, </w:t>
      </w:r>
      <w:proofErr w:type="spellStart"/>
      <w:r w:rsidR="0066114C">
        <w:t>Pintrich</w:t>
      </w:r>
      <w:proofErr w:type="spellEnd"/>
      <w:r w:rsidR="0066114C">
        <w:t xml:space="preserve">, &amp; Meese, </w:t>
      </w:r>
      <w:r w:rsidR="00541CBB" w:rsidRPr="0066114C">
        <w:t>2008).</w:t>
      </w:r>
      <w:r w:rsidR="00541CBB">
        <w:t xml:space="preserve"> </w:t>
      </w:r>
    </w:p>
    <w:p w:rsidR="00DB2EAA" w:rsidRDefault="00DB2EAA" w:rsidP="000C05E7">
      <w:pPr>
        <w:pStyle w:val="NoSpacing"/>
      </w:pPr>
    </w:p>
    <w:p w:rsidR="00DB2EAA" w:rsidRDefault="00DB2EAA" w:rsidP="00DB2EAA">
      <w:pPr>
        <w:pStyle w:val="NoSpacing"/>
        <w:jc w:val="center"/>
        <w:rPr>
          <w:b/>
        </w:rPr>
      </w:pPr>
      <w:r>
        <w:rPr>
          <w:b/>
        </w:rPr>
        <w:t>Methods</w:t>
      </w:r>
    </w:p>
    <w:p w:rsidR="00DB2EAA" w:rsidRDefault="00DB2EAA" w:rsidP="00DB2EAA">
      <w:pPr>
        <w:pStyle w:val="NoSpacing"/>
      </w:pPr>
      <w:r>
        <w:tab/>
        <w:t xml:space="preserve">Participants for this </w:t>
      </w:r>
      <w:r w:rsidR="00E04E65">
        <w:t xml:space="preserve">case </w:t>
      </w:r>
      <w:r>
        <w:t xml:space="preserve">study were selected </w:t>
      </w:r>
      <w:r w:rsidR="00E04E65">
        <w:t>from enrollee</w:t>
      </w:r>
      <w:r w:rsidR="006F3ECC">
        <w:t>s</w:t>
      </w:r>
      <w:r w:rsidR="00E04E65">
        <w:t xml:space="preserve"> in </w:t>
      </w:r>
      <w:r>
        <w:t xml:space="preserve">an online </w:t>
      </w:r>
      <w:r w:rsidR="00E04E65">
        <w:t xml:space="preserve">agricultural science course at an institution in the southwest United States university during the spring semester.  Specifically, the students were enrolled in an online </w:t>
      </w:r>
      <w:r w:rsidR="001033BF">
        <w:t xml:space="preserve">dual enrollment </w:t>
      </w:r>
      <w:r w:rsidR="00E04E65">
        <w:t xml:space="preserve">crop science course and through direct administration, 52 students completed the instrumentation used to measure motivation and online self-regulated learning.  Student motivation was measured using the motivation sub-scale of the Motivated Strategies for Learning Questionnaire (MSLQ).  The MSLQ motivation sub-subscale is a 31 item instrument using a seven-point Likert-type scale </w:t>
      </w:r>
      <w:r w:rsidR="003E5113">
        <w:t>to measure</w:t>
      </w:r>
      <w:r w:rsidR="00804353">
        <w:t xml:space="preserve"> six constructs of motivation.  </w:t>
      </w:r>
      <w:r w:rsidR="003E5113">
        <w:t>Self-regulated learning in online courses was measured using the Online Self-Regulated Learning Questionnaire (OSLQ).  The OSLQ is a 24 item instrument using a five-point Likert-type scale to measure six constructs of self-regulated le</w:t>
      </w:r>
      <w:r w:rsidR="00804353">
        <w:t>arning in online environments.</w:t>
      </w:r>
    </w:p>
    <w:p w:rsidR="00473176" w:rsidRDefault="00473176" w:rsidP="009F4AC9">
      <w:pPr>
        <w:pStyle w:val="NoSpacing"/>
        <w:jc w:val="center"/>
        <w:rPr>
          <w:b/>
        </w:rPr>
      </w:pPr>
    </w:p>
    <w:p w:rsidR="00473176" w:rsidRDefault="009F4AC9" w:rsidP="00473176">
      <w:pPr>
        <w:pStyle w:val="NoSpacing"/>
        <w:jc w:val="center"/>
        <w:rPr>
          <w:b/>
        </w:rPr>
      </w:pPr>
      <w:r>
        <w:rPr>
          <w:b/>
        </w:rPr>
        <w:t>Findings</w:t>
      </w:r>
    </w:p>
    <w:p w:rsidR="0016774D" w:rsidRPr="00804353" w:rsidRDefault="0016774D" w:rsidP="0016774D">
      <w:pPr>
        <w:pStyle w:val="NoSpacing"/>
      </w:pPr>
      <w:r>
        <w:rPr>
          <w:b/>
        </w:rPr>
        <w:tab/>
      </w:r>
      <w:r>
        <w:t>Students enrolled in the dual enrollment agricultural science course tended to have the highest level of self-regulated online learning within the construct of environment structuring</w:t>
      </w:r>
      <w:r w:rsidR="0063161B">
        <w:t xml:space="preserve"> (</w:t>
      </w:r>
      <w:r w:rsidR="0063161B" w:rsidRPr="0063161B">
        <w:rPr>
          <w:i/>
        </w:rPr>
        <w:t>M</w:t>
      </w:r>
      <w:r w:rsidR="0063161B">
        <w:t xml:space="preserve">=3.73, </w:t>
      </w:r>
      <w:r w:rsidR="0063161B" w:rsidRPr="0063161B">
        <w:rPr>
          <w:i/>
        </w:rPr>
        <w:t>SD</w:t>
      </w:r>
      <w:r w:rsidR="0063161B">
        <w:t>=.89)</w:t>
      </w:r>
      <w:r>
        <w:t xml:space="preserve">.  Students tended to have the lowest </w:t>
      </w:r>
      <w:r w:rsidR="0063161B">
        <w:t>levels in time management (</w:t>
      </w:r>
      <w:r w:rsidR="0063161B" w:rsidRPr="0063161B">
        <w:rPr>
          <w:i/>
        </w:rPr>
        <w:t>M</w:t>
      </w:r>
      <w:r w:rsidR="0063161B">
        <w:t xml:space="preserve">=3.30, </w:t>
      </w:r>
      <w:r w:rsidR="0063161B" w:rsidRPr="0063161B">
        <w:rPr>
          <w:i/>
        </w:rPr>
        <w:lastRenderedPageBreak/>
        <w:t>SD</w:t>
      </w:r>
      <w:r w:rsidR="0063161B">
        <w:t>=.96).  In regard to motivation, students were highest in control of learning beliefs (</w:t>
      </w:r>
      <w:r w:rsidR="0063161B" w:rsidRPr="0063161B">
        <w:rPr>
          <w:i/>
        </w:rPr>
        <w:t>M</w:t>
      </w:r>
      <w:r w:rsidR="0063161B">
        <w:t xml:space="preserve">=5.17, </w:t>
      </w:r>
      <w:r w:rsidR="0063161B" w:rsidRPr="0063161B">
        <w:rPr>
          <w:i/>
        </w:rPr>
        <w:t>SD</w:t>
      </w:r>
      <w:r w:rsidR="0063161B">
        <w:t>=1.07) and lowest in task value (</w:t>
      </w:r>
      <w:r w:rsidR="0063161B" w:rsidRPr="0063161B">
        <w:rPr>
          <w:i/>
        </w:rPr>
        <w:t>M</w:t>
      </w:r>
      <w:r w:rsidR="0063161B">
        <w:t xml:space="preserve">=4.65, </w:t>
      </w:r>
      <w:r w:rsidR="0063161B" w:rsidRPr="0063161B">
        <w:rPr>
          <w:i/>
        </w:rPr>
        <w:t>SD</w:t>
      </w:r>
      <w:r w:rsidR="0063161B">
        <w:t>=1.40).  These data can be found in Tables 1 and 2.  A Pearson Product Moment Correlation was calculated to determine the relationship between the two variables.  Motivation to learn had a very strong correlation (Davis, 1971) with self-regulated learning in online courses (</w:t>
      </w:r>
      <w:r w:rsidR="0063161B">
        <w:rPr>
          <w:i/>
        </w:rPr>
        <w:t>r</w:t>
      </w:r>
      <w:r w:rsidR="0063161B">
        <w:t xml:space="preserve">= .72, </w:t>
      </w:r>
      <w:r w:rsidR="0063161B">
        <w:rPr>
          <w:i/>
        </w:rPr>
        <w:t>p</w:t>
      </w:r>
      <w:r w:rsidR="0063161B">
        <w:t xml:space="preserve">= .01).  </w:t>
      </w:r>
    </w:p>
    <w:p w:rsidR="009F4AC9" w:rsidRDefault="001033BF" w:rsidP="001033BF">
      <w:pPr>
        <w:pStyle w:val="NoSpacing"/>
      </w:pPr>
      <w:r>
        <w:t>Table 1</w:t>
      </w:r>
    </w:p>
    <w:p w:rsidR="001033BF" w:rsidRPr="001033BF" w:rsidRDefault="0037635E" w:rsidP="001033BF">
      <w:pPr>
        <w:pStyle w:val="NoSpacing"/>
        <w:rPr>
          <w:i/>
        </w:rPr>
      </w:pPr>
      <w:r>
        <w:rPr>
          <w:i/>
        </w:rPr>
        <w:t>Self-regulated learning of online dual enrollment s</w:t>
      </w:r>
      <w:r w:rsidR="001033BF" w:rsidRPr="001033BF">
        <w:rPr>
          <w:i/>
        </w:rPr>
        <w:t>tudents</w:t>
      </w:r>
    </w:p>
    <w:tbl>
      <w:tblPr>
        <w:tblStyle w:val="TableGrid"/>
        <w:tblW w:w="0" w:type="auto"/>
        <w:tblLook w:val="04A0" w:firstRow="1" w:lastRow="0" w:firstColumn="1" w:lastColumn="0" w:noHBand="0" w:noVBand="1"/>
      </w:tblPr>
      <w:tblGrid>
        <w:gridCol w:w="4585"/>
        <w:gridCol w:w="2430"/>
        <w:gridCol w:w="2335"/>
      </w:tblGrid>
      <w:tr w:rsidR="001033BF" w:rsidTr="00DD5ABE">
        <w:tc>
          <w:tcPr>
            <w:tcW w:w="4585" w:type="dxa"/>
            <w:tcBorders>
              <w:left w:val="single" w:sz="4" w:space="0" w:color="FFFFFF" w:themeColor="background1"/>
              <w:right w:val="single" w:sz="4" w:space="0" w:color="FFFFFF" w:themeColor="background1"/>
            </w:tcBorders>
          </w:tcPr>
          <w:p w:rsidR="001033BF" w:rsidRPr="001033BF" w:rsidRDefault="001033BF" w:rsidP="001033BF">
            <w:pPr>
              <w:pStyle w:val="NoSpacing"/>
              <w:jc w:val="center"/>
            </w:pPr>
            <w:r w:rsidRPr="001033BF">
              <w:t>Construct</w:t>
            </w:r>
          </w:p>
        </w:tc>
        <w:tc>
          <w:tcPr>
            <w:tcW w:w="2430" w:type="dxa"/>
            <w:tcBorders>
              <w:left w:val="single" w:sz="4" w:space="0" w:color="FFFFFF" w:themeColor="background1"/>
              <w:right w:val="single" w:sz="4" w:space="0" w:color="FFFFFF" w:themeColor="background1"/>
            </w:tcBorders>
          </w:tcPr>
          <w:p w:rsidR="001033BF" w:rsidRPr="001033BF" w:rsidRDefault="001033BF" w:rsidP="001033BF">
            <w:pPr>
              <w:pStyle w:val="NoSpacing"/>
              <w:jc w:val="center"/>
              <w:rPr>
                <w:i/>
              </w:rPr>
            </w:pPr>
            <w:r w:rsidRPr="001033BF">
              <w:rPr>
                <w:i/>
              </w:rPr>
              <w:t>M</w:t>
            </w:r>
          </w:p>
        </w:tc>
        <w:tc>
          <w:tcPr>
            <w:tcW w:w="2335" w:type="dxa"/>
            <w:tcBorders>
              <w:left w:val="single" w:sz="4" w:space="0" w:color="FFFFFF" w:themeColor="background1"/>
              <w:right w:val="single" w:sz="4" w:space="0" w:color="FFFFFF" w:themeColor="background1"/>
            </w:tcBorders>
          </w:tcPr>
          <w:p w:rsidR="001033BF" w:rsidRPr="001033BF" w:rsidRDefault="001033BF" w:rsidP="001033BF">
            <w:pPr>
              <w:pStyle w:val="NoSpacing"/>
              <w:jc w:val="center"/>
              <w:rPr>
                <w:i/>
              </w:rPr>
            </w:pPr>
            <w:r w:rsidRPr="001033BF">
              <w:rPr>
                <w:i/>
              </w:rPr>
              <w:t>SD</w:t>
            </w:r>
          </w:p>
        </w:tc>
      </w:tr>
      <w:tr w:rsidR="001033BF" w:rsidTr="00DD5ABE">
        <w:tc>
          <w:tcPr>
            <w:tcW w:w="4585" w:type="dxa"/>
            <w:tcBorders>
              <w:left w:val="single" w:sz="4" w:space="0" w:color="FFFFFF" w:themeColor="background1"/>
              <w:bottom w:val="single" w:sz="4" w:space="0" w:color="FFFFFF" w:themeColor="background1"/>
              <w:right w:val="single" w:sz="4" w:space="0" w:color="FFFFFF" w:themeColor="background1"/>
            </w:tcBorders>
          </w:tcPr>
          <w:p w:rsidR="001033BF" w:rsidRPr="00A31A5A" w:rsidRDefault="001033BF" w:rsidP="001033BF">
            <w:r w:rsidRPr="00A31A5A">
              <w:t>Environment Structuring</w:t>
            </w:r>
          </w:p>
        </w:tc>
        <w:tc>
          <w:tcPr>
            <w:tcW w:w="2430" w:type="dxa"/>
            <w:tcBorders>
              <w:left w:val="single" w:sz="4" w:space="0" w:color="FFFFFF" w:themeColor="background1"/>
              <w:bottom w:val="single" w:sz="4" w:space="0" w:color="FFFFFF" w:themeColor="background1"/>
              <w:right w:val="single" w:sz="4" w:space="0" w:color="FFFFFF" w:themeColor="background1"/>
            </w:tcBorders>
          </w:tcPr>
          <w:p w:rsidR="001033BF" w:rsidRPr="00A31A5A" w:rsidRDefault="001033BF" w:rsidP="001033BF">
            <w:pPr>
              <w:jc w:val="center"/>
            </w:pPr>
            <w:r w:rsidRPr="00A31A5A">
              <w:t>3.73</w:t>
            </w:r>
          </w:p>
        </w:tc>
        <w:tc>
          <w:tcPr>
            <w:tcW w:w="2335" w:type="dxa"/>
            <w:tcBorders>
              <w:left w:val="single" w:sz="4" w:space="0" w:color="FFFFFF" w:themeColor="background1"/>
              <w:bottom w:val="single" w:sz="4" w:space="0" w:color="FFFFFF" w:themeColor="background1"/>
              <w:right w:val="single" w:sz="4" w:space="0" w:color="FFFFFF" w:themeColor="background1"/>
            </w:tcBorders>
          </w:tcPr>
          <w:p w:rsidR="001033BF" w:rsidRDefault="001033BF" w:rsidP="001033BF">
            <w:pPr>
              <w:jc w:val="center"/>
            </w:pPr>
            <w:r w:rsidRPr="00A31A5A">
              <w:t>.89</w:t>
            </w:r>
          </w:p>
        </w:tc>
      </w:tr>
      <w:tr w:rsidR="001033BF" w:rsidTr="00DD5ABE">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9F4AC9">
            <w:pPr>
              <w:pStyle w:val="NoSpacing"/>
            </w:pPr>
            <w:r>
              <w:t>Goal Setting</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1033BF">
            <w:pPr>
              <w:pStyle w:val="NoSpacing"/>
              <w:jc w:val="center"/>
            </w:pPr>
            <w:r>
              <w:t>3.51</w:t>
            </w:r>
          </w:p>
        </w:tc>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1033BF">
            <w:pPr>
              <w:pStyle w:val="NoSpacing"/>
              <w:jc w:val="center"/>
            </w:pPr>
            <w:r>
              <w:t>.73</w:t>
            </w:r>
          </w:p>
        </w:tc>
      </w:tr>
      <w:tr w:rsidR="001033BF" w:rsidTr="00DD5ABE">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9F4AC9">
            <w:pPr>
              <w:pStyle w:val="NoSpacing"/>
            </w:pPr>
            <w:r>
              <w:t>Help Seeking</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1033BF">
            <w:pPr>
              <w:pStyle w:val="NoSpacing"/>
              <w:jc w:val="center"/>
            </w:pPr>
            <w:r>
              <w:t>3.39</w:t>
            </w:r>
          </w:p>
        </w:tc>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1033BF">
            <w:pPr>
              <w:pStyle w:val="NoSpacing"/>
              <w:jc w:val="center"/>
            </w:pPr>
            <w:r>
              <w:t>.98</w:t>
            </w:r>
          </w:p>
        </w:tc>
      </w:tr>
      <w:tr w:rsidR="001033BF" w:rsidTr="00DD5ABE">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9F4AC9">
            <w:pPr>
              <w:pStyle w:val="NoSpacing"/>
            </w:pPr>
            <w:r>
              <w:t>Task Strategies</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1033BF">
            <w:pPr>
              <w:pStyle w:val="NoSpacing"/>
              <w:jc w:val="center"/>
            </w:pPr>
            <w:r>
              <w:t>3.39</w:t>
            </w:r>
          </w:p>
        </w:tc>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1033BF">
            <w:pPr>
              <w:pStyle w:val="NoSpacing"/>
              <w:jc w:val="center"/>
            </w:pPr>
            <w:r>
              <w:t>.98</w:t>
            </w:r>
          </w:p>
        </w:tc>
      </w:tr>
      <w:tr w:rsidR="001033BF" w:rsidTr="00DD5ABE">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9F4AC9">
            <w:pPr>
              <w:pStyle w:val="NoSpacing"/>
            </w:pPr>
            <w:r>
              <w:t>Self-Evaluation</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1033BF">
            <w:pPr>
              <w:pStyle w:val="NoSpacing"/>
              <w:jc w:val="center"/>
            </w:pPr>
            <w:r>
              <w:t>3.32</w:t>
            </w:r>
          </w:p>
        </w:tc>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1033BF">
            <w:pPr>
              <w:pStyle w:val="NoSpacing"/>
              <w:jc w:val="center"/>
            </w:pPr>
            <w:r>
              <w:t>.92</w:t>
            </w:r>
          </w:p>
        </w:tc>
      </w:tr>
      <w:tr w:rsidR="001033BF" w:rsidTr="00DD5ABE">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9F4AC9">
            <w:pPr>
              <w:pStyle w:val="NoSpacing"/>
            </w:pPr>
            <w:r>
              <w:t>Time Management</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1033BF">
            <w:pPr>
              <w:pStyle w:val="NoSpacing"/>
              <w:jc w:val="center"/>
            </w:pPr>
            <w:r>
              <w:t>3.30</w:t>
            </w:r>
          </w:p>
        </w:tc>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1033BF">
            <w:pPr>
              <w:pStyle w:val="NoSpacing"/>
              <w:jc w:val="center"/>
            </w:pPr>
            <w:r>
              <w:t>.96</w:t>
            </w:r>
          </w:p>
        </w:tc>
      </w:tr>
      <w:tr w:rsidR="0037635E" w:rsidTr="00DD5ABE">
        <w:tc>
          <w:tcPr>
            <w:tcW w:w="4585" w:type="dxa"/>
            <w:tcBorders>
              <w:top w:val="single" w:sz="4" w:space="0" w:color="FFFFFF" w:themeColor="background1"/>
              <w:left w:val="single" w:sz="4" w:space="0" w:color="FFFFFF" w:themeColor="background1"/>
              <w:right w:val="single" w:sz="4" w:space="0" w:color="FFFFFF" w:themeColor="background1"/>
            </w:tcBorders>
          </w:tcPr>
          <w:p w:rsidR="0037635E" w:rsidRDefault="0037635E" w:rsidP="0037635E">
            <w:pPr>
              <w:pStyle w:val="NoSpacing"/>
              <w:jc w:val="right"/>
            </w:pPr>
            <w:r>
              <w:t>Scale total:</w:t>
            </w:r>
          </w:p>
        </w:tc>
        <w:tc>
          <w:tcPr>
            <w:tcW w:w="2430" w:type="dxa"/>
            <w:tcBorders>
              <w:top w:val="single" w:sz="4" w:space="0" w:color="FFFFFF" w:themeColor="background1"/>
              <w:left w:val="single" w:sz="4" w:space="0" w:color="FFFFFF" w:themeColor="background1"/>
              <w:right w:val="single" w:sz="4" w:space="0" w:color="FFFFFF" w:themeColor="background1"/>
            </w:tcBorders>
          </w:tcPr>
          <w:p w:rsidR="0037635E" w:rsidRDefault="0037635E" w:rsidP="001033BF">
            <w:pPr>
              <w:pStyle w:val="NoSpacing"/>
              <w:jc w:val="center"/>
            </w:pPr>
            <w:r>
              <w:t>3.45</w:t>
            </w:r>
          </w:p>
        </w:tc>
        <w:tc>
          <w:tcPr>
            <w:tcW w:w="2335" w:type="dxa"/>
            <w:tcBorders>
              <w:top w:val="single" w:sz="4" w:space="0" w:color="FFFFFF" w:themeColor="background1"/>
              <w:left w:val="single" w:sz="4" w:space="0" w:color="FFFFFF" w:themeColor="background1"/>
              <w:right w:val="single" w:sz="4" w:space="0" w:color="FFFFFF" w:themeColor="background1"/>
            </w:tcBorders>
          </w:tcPr>
          <w:p w:rsidR="0037635E" w:rsidRDefault="0016774D" w:rsidP="001033BF">
            <w:pPr>
              <w:pStyle w:val="NoSpacing"/>
              <w:jc w:val="center"/>
            </w:pPr>
            <w:r>
              <w:t>.80</w:t>
            </w:r>
          </w:p>
        </w:tc>
      </w:tr>
    </w:tbl>
    <w:p w:rsidR="009F4AC9" w:rsidRDefault="009F4AC9" w:rsidP="009F4AC9">
      <w:pPr>
        <w:pStyle w:val="NoSpacing"/>
        <w:rPr>
          <w:b/>
        </w:rPr>
      </w:pPr>
    </w:p>
    <w:p w:rsidR="001033BF" w:rsidRDefault="0037635E" w:rsidP="009F4AC9">
      <w:pPr>
        <w:pStyle w:val="NoSpacing"/>
      </w:pPr>
      <w:r>
        <w:t>Table 2</w:t>
      </w:r>
    </w:p>
    <w:p w:rsidR="0037635E" w:rsidRPr="0037635E" w:rsidRDefault="0037635E" w:rsidP="009F4AC9">
      <w:pPr>
        <w:pStyle w:val="NoSpacing"/>
      </w:pPr>
      <w:r>
        <w:rPr>
          <w:i/>
        </w:rPr>
        <w:t>Motivation to learn of online dual enrollment students</w:t>
      </w:r>
    </w:p>
    <w:tbl>
      <w:tblPr>
        <w:tblStyle w:val="TableGrid"/>
        <w:tblW w:w="0" w:type="auto"/>
        <w:tblLook w:val="04A0" w:firstRow="1" w:lastRow="0" w:firstColumn="1" w:lastColumn="0" w:noHBand="0" w:noVBand="1"/>
      </w:tblPr>
      <w:tblGrid>
        <w:gridCol w:w="4585"/>
        <w:gridCol w:w="2382"/>
        <w:gridCol w:w="2383"/>
      </w:tblGrid>
      <w:tr w:rsidR="001033BF" w:rsidTr="00DD5ABE">
        <w:tc>
          <w:tcPr>
            <w:tcW w:w="4585" w:type="dxa"/>
            <w:tcBorders>
              <w:left w:val="single" w:sz="4" w:space="0" w:color="FFFFFF" w:themeColor="background1"/>
              <w:right w:val="single" w:sz="4" w:space="0" w:color="FFFFFF" w:themeColor="background1"/>
            </w:tcBorders>
          </w:tcPr>
          <w:p w:rsidR="001033BF" w:rsidRDefault="001033BF" w:rsidP="009F4AC9">
            <w:pPr>
              <w:pStyle w:val="NoSpacing"/>
              <w:jc w:val="center"/>
            </w:pPr>
            <w:r>
              <w:t>Construct</w:t>
            </w:r>
          </w:p>
        </w:tc>
        <w:tc>
          <w:tcPr>
            <w:tcW w:w="2382" w:type="dxa"/>
            <w:tcBorders>
              <w:left w:val="single" w:sz="4" w:space="0" w:color="FFFFFF" w:themeColor="background1"/>
              <w:right w:val="single" w:sz="4" w:space="0" w:color="FFFFFF" w:themeColor="background1"/>
            </w:tcBorders>
          </w:tcPr>
          <w:p w:rsidR="001033BF" w:rsidRPr="0037635E" w:rsidRDefault="001033BF" w:rsidP="009F4AC9">
            <w:pPr>
              <w:pStyle w:val="NoSpacing"/>
              <w:jc w:val="center"/>
              <w:rPr>
                <w:i/>
              </w:rPr>
            </w:pPr>
            <w:r w:rsidRPr="0037635E">
              <w:rPr>
                <w:i/>
              </w:rPr>
              <w:t>M</w:t>
            </w:r>
          </w:p>
        </w:tc>
        <w:tc>
          <w:tcPr>
            <w:tcW w:w="2383" w:type="dxa"/>
            <w:tcBorders>
              <w:left w:val="single" w:sz="4" w:space="0" w:color="FFFFFF" w:themeColor="background1"/>
              <w:right w:val="single" w:sz="4" w:space="0" w:color="FFFFFF" w:themeColor="background1"/>
            </w:tcBorders>
          </w:tcPr>
          <w:p w:rsidR="001033BF" w:rsidRPr="0037635E" w:rsidRDefault="001033BF" w:rsidP="009F4AC9">
            <w:pPr>
              <w:pStyle w:val="NoSpacing"/>
              <w:jc w:val="center"/>
              <w:rPr>
                <w:i/>
              </w:rPr>
            </w:pPr>
            <w:r w:rsidRPr="0037635E">
              <w:rPr>
                <w:i/>
              </w:rPr>
              <w:t>SD</w:t>
            </w:r>
          </w:p>
        </w:tc>
      </w:tr>
      <w:tr w:rsidR="0037635E" w:rsidTr="00DD5ABE">
        <w:tc>
          <w:tcPr>
            <w:tcW w:w="4585" w:type="dxa"/>
            <w:tcBorders>
              <w:left w:val="single" w:sz="4" w:space="0" w:color="FFFFFF" w:themeColor="background1"/>
              <w:bottom w:val="single" w:sz="4" w:space="0" w:color="FFFFFF" w:themeColor="background1"/>
              <w:right w:val="single" w:sz="4" w:space="0" w:color="FFFFFF" w:themeColor="background1"/>
            </w:tcBorders>
          </w:tcPr>
          <w:p w:rsidR="0037635E" w:rsidRPr="00366EC5" w:rsidRDefault="0037635E" w:rsidP="0037635E">
            <w:r w:rsidRPr="00366EC5">
              <w:t>Control of Learning Beliefs</w:t>
            </w:r>
          </w:p>
        </w:tc>
        <w:tc>
          <w:tcPr>
            <w:tcW w:w="2382" w:type="dxa"/>
            <w:tcBorders>
              <w:left w:val="single" w:sz="4" w:space="0" w:color="FFFFFF" w:themeColor="background1"/>
              <w:bottom w:val="single" w:sz="4" w:space="0" w:color="FFFFFF" w:themeColor="background1"/>
              <w:right w:val="single" w:sz="4" w:space="0" w:color="FFFFFF" w:themeColor="background1"/>
            </w:tcBorders>
          </w:tcPr>
          <w:p w:rsidR="0037635E" w:rsidRPr="00366EC5" w:rsidRDefault="0037635E" w:rsidP="0037635E">
            <w:pPr>
              <w:jc w:val="center"/>
            </w:pPr>
            <w:r w:rsidRPr="00366EC5">
              <w:t>5.17</w:t>
            </w:r>
          </w:p>
        </w:tc>
        <w:tc>
          <w:tcPr>
            <w:tcW w:w="2383" w:type="dxa"/>
            <w:tcBorders>
              <w:left w:val="single" w:sz="4" w:space="0" w:color="FFFFFF" w:themeColor="background1"/>
              <w:bottom w:val="single" w:sz="4" w:space="0" w:color="FFFFFF" w:themeColor="background1"/>
              <w:right w:val="single" w:sz="4" w:space="0" w:color="FFFFFF" w:themeColor="background1"/>
            </w:tcBorders>
          </w:tcPr>
          <w:p w:rsidR="0037635E" w:rsidRDefault="0037635E" w:rsidP="0037635E">
            <w:pPr>
              <w:jc w:val="center"/>
            </w:pPr>
            <w:r w:rsidRPr="00366EC5">
              <w:t>1.07</w:t>
            </w:r>
          </w:p>
        </w:tc>
      </w:tr>
      <w:tr w:rsidR="0037635E" w:rsidTr="00DD5ABE">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5E" w:rsidRDefault="0037635E" w:rsidP="0037635E">
            <w:pPr>
              <w:pStyle w:val="NoSpacing"/>
            </w:pPr>
            <w:r>
              <w:t>Extrinsic Goal Orientation</w:t>
            </w:r>
          </w:p>
        </w:tc>
        <w:tc>
          <w:tcPr>
            <w:tcW w:w="2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5E" w:rsidRDefault="0037635E" w:rsidP="0037635E">
            <w:pPr>
              <w:pStyle w:val="NoSpacing"/>
              <w:jc w:val="center"/>
            </w:pPr>
            <w:r>
              <w:t>5.15</w:t>
            </w:r>
          </w:p>
        </w:tc>
        <w:tc>
          <w:tcPr>
            <w:tcW w:w="2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5E" w:rsidRDefault="0037635E" w:rsidP="0037635E">
            <w:pPr>
              <w:pStyle w:val="NoSpacing"/>
              <w:jc w:val="center"/>
            </w:pPr>
            <w:r>
              <w:t>1.32</w:t>
            </w:r>
          </w:p>
        </w:tc>
      </w:tr>
      <w:tr w:rsidR="0037635E" w:rsidTr="00DD5ABE">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5E" w:rsidRDefault="0037635E" w:rsidP="0037635E">
            <w:pPr>
              <w:pStyle w:val="NoSpacing"/>
            </w:pPr>
            <w:r>
              <w:t>Test Anxiety</w:t>
            </w:r>
          </w:p>
        </w:tc>
        <w:tc>
          <w:tcPr>
            <w:tcW w:w="2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5E" w:rsidRDefault="0037635E" w:rsidP="0037635E">
            <w:pPr>
              <w:pStyle w:val="NoSpacing"/>
              <w:jc w:val="center"/>
            </w:pPr>
            <w:r>
              <w:t>4.98</w:t>
            </w:r>
          </w:p>
        </w:tc>
        <w:tc>
          <w:tcPr>
            <w:tcW w:w="2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5E" w:rsidRDefault="0037635E" w:rsidP="0037635E">
            <w:pPr>
              <w:pStyle w:val="NoSpacing"/>
              <w:jc w:val="center"/>
            </w:pPr>
            <w:r>
              <w:t>1.14</w:t>
            </w:r>
          </w:p>
        </w:tc>
      </w:tr>
      <w:tr w:rsidR="0037635E" w:rsidTr="00DD5ABE">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5E" w:rsidRDefault="0037635E" w:rsidP="0037635E">
            <w:pPr>
              <w:pStyle w:val="NoSpacing"/>
            </w:pPr>
            <w:r>
              <w:t>Self-Efficacy for Learning &amp; Performance</w:t>
            </w:r>
          </w:p>
        </w:tc>
        <w:tc>
          <w:tcPr>
            <w:tcW w:w="2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5E" w:rsidRDefault="0037635E" w:rsidP="0037635E">
            <w:pPr>
              <w:pStyle w:val="NoSpacing"/>
              <w:jc w:val="center"/>
            </w:pPr>
            <w:r>
              <w:t>4.88</w:t>
            </w:r>
          </w:p>
        </w:tc>
        <w:tc>
          <w:tcPr>
            <w:tcW w:w="2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5E" w:rsidRDefault="0037635E" w:rsidP="0037635E">
            <w:pPr>
              <w:pStyle w:val="NoSpacing"/>
              <w:jc w:val="center"/>
            </w:pPr>
            <w:r>
              <w:t>1.31</w:t>
            </w:r>
          </w:p>
        </w:tc>
      </w:tr>
      <w:tr w:rsidR="001033BF" w:rsidTr="00DD5ABE">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1033BF" w:rsidP="001033BF">
            <w:pPr>
              <w:pStyle w:val="NoSpacing"/>
            </w:pPr>
            <w:r>
              <w:t>Intrinsic Goal Orientation</w:t>
            </w:r>
          </w:p>
        </w:tc>
        <w:tc>
          <w:tcPr>
            <w:tcW w:w="2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37635E" w:rsidP="009F4AC9">
            <w:pPr>
              <w:pStyle w:val="NoSpacing"/>
              <w:jc w:val="center"/>
            </w:pPr>
            <w:r>
              <w:t>4.85</w:t>
            </w:r>
          </w:p>
        </w:tc>
        <w:tc>
          <w:tcPr>
            <w:tcW w:w="2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3BF" w:rsidRDefault="0037635E" w:rsidP="009F4AC9">
            <w:pPr>
              <w:pStyle w:val="NoSpacing"/>
              <w:jc w:val="center"/>
            </w:pPr>
            <w:r>
              <w:t>1.29</w:t>
            </w:r>
          </w:p>
        </w:tc>
      </w:tr>
      <w:tr w:rsidR="0037635E" w:rsidTr="00DD5ABE">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5E" w:rsidRDefault="0037635E" w:rsidP="001033BF">
            <w:pPr>
              <w:pStyle w:val="NoSpacing"/>
            </w:pPr>
            <w:r>
              <w:t>Task Value</w:t>
            </w:r>
          </w:p>
        </w:tc>
        <w:tc>
          <w:tcPr>
            <w:tcW w:w="2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5E" w:rsidRDefault="0037635E" w:rsidP="009F4AC9">
            <w:pPr>
              <w:pStyle w:val="NoSpacing"/>
              <w:jc w:val="center"/>
            </w:pPr>
            <w:r>
              <w:t>4.65</w:t>
            </w:r>
          </w:p>
        </w:tc>
        <w:tc>
          <w:tcPr>
            <w:tcW w:w="2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5E" w:rsidRDefault="0037635E" w:rsidP="009F4AC9">
            <w:pPr>
              <w:pStyle w:val="NoSpacing"/>
              <w:jc w:val="center"/>
            </w:pPr>
            <w:r>
              <w:t>1.40</w:t>
            </w:r>
          </w:p>
        </w:tc>
      </w:tr>
      <w:tr w:rsidR="0016774D" w:rsidTr="00DD5ABE">
        <w:tc>
          <w:tcPr>
            <w:tcW w:w="4585" w:type="dxa"/>
            <w:tcBorders>
              <w:top w:val="single" w:sz="4" w:space="0" w:color="FFFFFF" w:themeColor="background1"/>
              <w:left w:val="single" w:sz="4" w:space="0" w:color="FFFFFF" w:themeColor="background1"/>
              <w:right w:val="single" w:sz="4" w:space="0" w:color="FFFFFF" w:themeColor="background1"/>
            </w:tcBorders>
          </w:tcPr>
          <w:p w:rsidR="0016774D" w:rsidRDefault="0016774D" w:rsidP="0016774D">
            <w:pPr>
              <w:pStyle w:val="NoSpacing"/>
              <w:jc w:val="right"/>
            </w:pPr>
            <w:r>
              <w:t>Scale total:</w:t>
            </w:r>
          </w:p>
        </w:tc>
        <w:tc>
          <w:tcPr>
            <w:tcW w:w="2382" w:type="dxa"/>
            <w:tcBorders>
              <w:top w:val="single" w:sz="4" w:space="0" w:color="FFFFFF" w:themeColor="background1"/>
              <w:left w:val="single" w:sz="4" w:space="0" w:color="FFFFFF" w:themeColor="background1"/>
              <w:right w:val="single" w:sz="4" w:space="0" w:color="FFFFFF" w:themeColor="background1"/>
            </w:tcBorders>
          </w:tcPr>
          <w:p w:rsidR="0016774D" w:rsidRDefault="0016774D" w:rsidP="009F4AC9">
            <w:pPr>
              <w:pStyle w:val="NoSpacing"/>
              <w:jc w:val="center"/>
            </w:pPr>
            <w:r>
              <w:t>4.92</w:t>
            </w:r>
          </w:p>
        </w:tc>
        <w:tc>
          <w:tcPr>
            <w:tcW w:w="2383" w:type="dxa"/>
            <w:tcBorders>
              <w:top w:val="single" w:sz="4" w:space="0" w:color="FFFFFF" w:themeColor="background1"/>
              <w:left w:val="single" w:sz="4" w:space="0" w:color="FFFFFF" w:themeColor="background1"/>
              <w:right w:val="single" w:sz="4" w:space="0" w:color="FFFFFF" w:themeColor="background1"/>
            </w:tcBorders>
          </w:tcPr>
          <w:p w:rsidR="0016774D" w:rsidRDefault="0016774D" w:rsidP="009F4AC9">
            <w:pPr>
              <w:pStyle w:val="NoSpacing"/>
              <w:jc w:val="center"/>
            </w:pPr>
            <w:r>
              <w:t>1.06</w:t>
            </w:r>
          </w:p>
        </w:tc>
      </w:tr>
    </w:tbl>
    <w:p w:rsidR="009F4AC9" w:rsidRDefault="009F4AC9" w:rsidP="0037635E">
      <w:pPr>
        <w:pStyle w:val="NoSpacing"/>
      </w:pPr>
    </w:p>
    <w:p w:rsidR="0016774D" w:rsidRDefault="0063161B" w:rsidP="0063161B">
      <w:pPr>
        <w:pStyle w:val="NoSpacing"/>
        <w:jc w:val="center"/>
        <w:rPr>
          <w:b/>
        </w:rPr>
      </w:pPr>
      <w:r>
        <w:rPr>
          <w:b/>
        </w:rPr>
        <w:t>Conclusions</w:t>
      </w:r>
    </w:p>
    <w:p w:rsidR="0063161B" w:rsidRDefault="0063161B" w:rsidP="0063161B">
      <w:pPr>
        <w:pStyle w:val="NoSpacing"/>
      </w:pPr>
      <w:r>
        <w:rPr>
          <w:b/>
        </w:rPr>
        <w:tab/>
      </w:r>
      <w:r>
        <w:t xml:space="preserve">Students in this course were more likely to </w:t>
      </w:r>
      <w:r w:rsidR="00473176">
        <w:t xml:space="preserve">create an adequate learning environment for themselves to focus on completing their work than they were to manage their time.  </w:t>
      </w:r>
      <w:r w:rsidR="00804353">
        <w:t xml:space="preserve">It can be concluded students know how to create the environment in which to be successful, yet still struggle managing their responsibilities to meet educational demands.  </w:t>
      </w:r>
      <w:r w:rsidR="00473176">
        <w:t xml:space="preserve">Interestingly, students, in this study, were more extrinsically motivated than intrinsically motivated.  This raises a question regarding motivation.  Have educators created an environment where students are more concerned about applying themselves simply for a grade rather than learning a new concept to </w:t>
      </w:r>
      <w:r w:rsidR="00A149A0">
        <w:t>use</w:t>
      </w:r>
      <w:r w:rsidR="00473176">
        <w:t xml:space="preserve"> in </w:t>
      </w:r>
      <w:r w:rsidR="00BD2149">
        <w:t>the</w:t>
      </w:r>
      <w:r w:rsidR="00473176">
        <w:t xml:space="preserve"> future?  Student motivation to learn is strongly correlated with self-regulated learning.  This is consistent with Schraw, Crippen, and Hartley (2006) who noted motivation is a necessary component in self-regulated learning.  </w:t>
      </w:r>
    </w:p>
    <w:p w:rsidR="00473176" w:rsidRDefault="00473176" w:rsidP="0063161B">
      <w:pPr>
        <w:pStyle w:val="NoSpacing"/>
      </w:pPr>
    </w:p>
    <w:p w:rsidR="00473176" w:rsidRDefault="00473176" w:rsidP="00473176">
      <w:pPr>
        <w:pStyle w:val="NoSpacing"/>
        <w:jc w:val="center"/>
        <w:rPr>
          <w:b/>
        </w:rPr>
      </w:pPr>
      <w:r>
        <w:rPr>
          <w:b/>
        </w:rPr>
        <w:t>Recommendations</w:t>
      </w:r>
    </w:p>
    <w:p w:rsidR="00473176" w:rsidRDefault="00473176" w:rsidP="00473176">
      <w:pPr>
        <w:pStyle w:val="NoSpacing"/>
        <w:ind w:firstLine="720"/>
      </w:pPr>
      <w:r>
        <w:t>Since motivation to learn is strongly correlated to online self-regulated learning, it is recommended that faculty continue to provide support for students and aid them in developing their approach to learning to be better equipped to succes</w:t>
      </w:r>
      <w:r w:rsidR="00A149A0">
        <w:t>sfully navigate online courses.  Specifically, assistance with developing time management strategies and self-analysis will aid students in creating a more manageable learning experience while using an introspective approach to</w:t>
      </w:r>
      <w:r w:rsidR="00804353">
        <w:t xml:space="preserve"> evaluating their own learning.  Furthermore, creating authentic learning experiences within online courses will provide students more opportunity to view the course as more valuable to their future and thus, increase intrinsic motivation to succeed. </w:t>
      </w:r>
    </w:p>
    <w:p w:rsidR="00473176" w:rsidRDefault="00473176" w:rsidP="00473176">
      <w:pPr>
        <w:pStyle w:val="NoSpacing"/>
      </w:pPr>
    </w:p>
    <w:p w:rsidR="00804353" w:rsidRDefault="00804353" w:rsidP="000772BE">
      <w:pPr>
        <w:pStyle w:val="NoSpacing"/>
        <w:jc w:val="center"/>
        <w:rPr>
          <w:b/>
        </w:rPr>
      </w:pPr>
    </w:p>
    <w:p w:rsidR="00804353" w:rsidRDefault="00804353" w:rsidP="000772BE">
      <w:pPr>
        <w:pStyle w:val="NoSpacing"/>
        <w:jc w:val="center"/>
        <w:rPr>
          <w:b/>
        </w:rPr>
      </w:pPr>
    </w:p>
    <w:p w:rsidR="000772BE" w:rsidRDefault="000772BE" w:rsidP="000772BE">
      <w:pPr>
        <w:pStyle w:val="NoSpacing"/>
        <w:jc w:val="center"/>
        <w:rPr>
          <w:b/>
        </w:rPr>
      </w:pPr>
      <w:r>
        <w:rPr>
          <w:b/>
        </w:rPr>
        <w:t>References</w:t>
      </w:r>
    </w:p>
    <w:p w:rsidR="0066114C" w:rsidRDefault="0066114C" w:rsidP="000772BE">
      <w:pPr>
        <w:pStyle w:val="NoSpacing"/>
      </w:pPr>
    </w:p>
    <w:p w:rsidR="0066114C" w:rsidRDefault="0066114C" w:rsidP="000772BE">
      <w:pPr>
        <w:pStyle w:val="NoSpacing"/>
      </w:pPr>
      <w:r w:rsidRPr="0066114C">
        <w:t xml:space="preserve">Bandura, A. (1986). </w:t>
      </w:r>
      <w:r w:rsidRPr="0066114C">
        <w:rPr>
          <w:i/>
        </w:rPr>
        <w:t>Social foundations of thought and action: A social cognitive theory.</w:t>
      </w:r>
      <w:r w:rsidRPr="0066114C">
        <w:t xml:space="preserve"> </w:t>
      </w:r>
      <w:r>
        <w:tab/>
      </w:r>
      <w:r w:rsidRPr="0066114C">
        <w:t>Englewood Cliffs, NJ: Prentice- Hall, Inc.</w:t>
      </w:r>
    </w:p>
    <w:p w:rsidR="00603A1B" w:rsidRDefault="00603A1B" w:rsidP="000772BE">
      <w:pPr>
        <w:pStyle w:val="NoSpacing"/>
      </w:pPr>
    </w:p>
    <w:p w:rsidR="00603A1B" w:rsidRDefault="00603A1B" w:rsidP="000772BE">
      <w:pPr>
        <w:pStyle w:val="NoSpacing"/>
      </w:pPr>
      <w:r w:rsidRPr="00603A1B">
        <w:t>Davis, J. A. (1971) Elementary survey analysis. Englewood Cliffs, NJ: Prentice-Hall</w:t>
      </w:r>
    </w:p>
    <w:p w:rsidR="0066114C" w:rsidRDefault="0066114C" w:rsidP="000772BE">
      <w:pPr>
        <w:pStyle w:val="NoSpacing"/>
      </w:pPr>
    </w:p>
    <w:p w:rsidR="000772BE" w:rsidRDefault="0066114C" w:rsidP="000772BE">
      <w:pPr>
        <w:pStyle w:val="NoSpacing"/>
      </w:pPr>
      <w:r>
        <w:t>G</w:t>
      </w:r>
      <w:r w:rsidRPr="0066114C">
        <w:t xml:space="preserve">lynn, S. M., &amp; </w:t>
      </w:r>
      <w:proofErr w:type="spellStart"/>
      <w:r w:rsidRPr="0066114C">
        <w:t>Koballa</w:t>
      </w:r>
      <w:proofErr w:type="spellEnd"/>
      <w:r w:rsidRPr="0066114C">
        <w:t xml:space="preserve">, T. R. (2006). </w:t>
      </w:r>
      <w:r w:rsidRPr="0066114C">
        <w:rPr>
          <w:i/>
        </w:rPr>
        <w:t>Motivation to learn in college science</w:t>
      </w:r>
      <w:r w:rsidRPr="0066114C">
        <w:t xml:space="preserve">. In J. J. </w:t>
      </w:r>
      <w:proofErr w:type="spellStart"/>
      <w:r w:rsidRPr="0066114C">
        <w:t>Mintzes</w:t>
      </w:r>
      <w:proofErr w:type="spellEnd"/>
      <w:r w:rsidRPr="0066114C">
        <w:t xml:space="preserve"> &amp; </w:t>
      </w:r>
      <w:r>
        <w:tab/>
      </w:r>
      <w:r w:rsidRPr="0066114C">
        <w:t xml:space="preserve">W. H. Leonard (Eds.), Handbook of college science teaching, 25–32. Arlington, VA: </w:t>
      </w:r>
      <w:r>
        <w:tab/>
      </w:r>
      <w:r w:rsidRPr="0066114C">
        <w:t>National Science Teachers Association Press.</w:t>
      </w:r>
    </w:p>
    <w:p w:rsidR="0066114C" w:rsidRDefault="0066114C" w:rsidP="000772BE">
      <w:pPr>
        <w:pStyle w:val="NoSpacing"/>
      </w:pPr>
    </w:p>
    <w:p w:rsidR="0066114C" w:rsidRDefault="0066114C" w:rsidP="000772BE">
      <w:pPr>
        <w:pStyle w:val="NoSpacing"/>
      </w:pPr>
      <w:proofErr w:type="spellStart"/>
      <w:r w:rsidRPr="0066114C">
        <w:t>Pintrich</w:t>
      </w:r>
      <w:proofErr w:type="spellEnd"/>
      <w:r w:rsidRPr="0066114C">
        <w:t xml:space="preserve">, P. (2000). The role of goal orientation in self-regulated learning. In M. </w:t>
      </w:r>
      <w:proofErr w:type="spellStart"/>
      <w:r w:rsidRPr="0066114C">
        <w:t>Boekaerts</w:t>
      </w:r>
      <w:proofErr w:type="spellEnd"/>
      <w:r w:rsidRPr="0066114C">
        <w:t xml:space="preserve">, P. </w:t>
      </w:r>
      <w:r>
        <w:tab/>
      </w:r>
      <w:proofErr w:type="spellStart"/>
      <w:r w:rsidRPr="0066114C">
        <w:t>Pintrich</w:t>
      </w:r>
      <w:proofErr w:type="spellEnd"/>
      <w:r w:rsidRPr="0066114C">
        <w:t xml:space="preserve">, &amp; M. </w:t>
      </w:r>
      <w:proofErr w:type="spellStart"/>
      <w:r w:rsidRPr="0066114C">
        <w:t>Zeidner</w:t>
      </w:r>
      <w:proofErr w:type="spellEnd"/>
      <w:r w:rsidRPr="0066114C">
        <w:t xml:space="preserve"> (Eds.), </w:t>
      </w:r>
      <w:r w:rsidRPr="0066114C">
        <w:rPr>
          <w:i/>
        </w:rPr>
        <w:t>Handbook of self-regulation</w:t>
      </w:r>
      <w:r w:rsidRPr="0066114C">
        <w:t xml:space="preserve"> (pp. 452–501). San Diego, </w:t>
      </w:r>
      <w:r>
        <w:tab/>
      </w:r>
      <w:r w:rsidRPr="0066114C">
        <w:t>CA: Academic Press.</w:t>
      </w:r>
    </w:p>
    <w:p w:rsidR="0066114C" w:rsidRDefault="0066114C" w:rsidP="000772BE">
      <w:pPr>
        <w:pStyle w:val="NoSpacing"/>
      </w:pPr>
    </w:p>
    <w:p w:rsidR="0066114C" w:rsidRPr="0066114C" w:rsidRDefault="0066114C" w:rsidP="000772BE">
      <w:pPr>
        <w:pStyle w:val="NoSpacing"/>
      </w:pPr>
      <w:proofErr w:type="spellStart"/>
      <w:r>
        <w:t>Pintrich</w:t>
      </w:r>
      <w:proofErr w:type="spellEnd"/>
      <w:r>
        <w:t xml:space="preserve">, P., &amp; </w:t>
      </w:r>
      <w:proofErr w:type="spellStart"/>
      <w:r>
        <w:t>Schunk</w:t>
      </w:r>
      <w:proofErr w:type="spellEnd"/>
      <w:r>
        <w:t xml:space="preserve">, D. H. (1996). </w:t>
      </w:r>
      <w:r w:rsidRPr="0066114C">
        <w:rPr>
          <w:i/>
        </w:rPr>
        <w:t xml:space="preserve">Motivation in education: Theory, research, and </w:t>
      </w:r>
      <w:r>
        <w:rPr>
          <w:i/>
        </w:rPr>
        <w:tab/>
      </w:r>
      <w:r w:rsidRPr="0066114C">
        <w:rPr>
          <w:i/>
        </w:rPr>
        <w:t>applications.</w:t>
      </w:r>
      <w:r>
        <w:t xml:space="preserve"> Ann Arbor, MI: Merrill.</w:t>
      </w:r>
    </w:p>
    <w:p w:rsidR="0066114C" w:rsidRDefault="0066114C" w:rsidP="000772BE">
      <w:pPr>
        <w:pStyle w:val="NoSpacing"/>
      </w:pPr>
    </w:p>
    <w:p w:rsidR="000772BE" w:rsidRDefault="000772BE" w:rsidP="000772BE">
      <w:pPr>
        <w:pStyle w:val="NoSpacing"/>
      </w:pPr>
      <w:r>
        <w:t xml:space="preserve">Schraw, G., Crippen, K. J., &amp; Hartley, K. (2006). Promoting self-regulation in science education: </w:t>
      </w:r>
      <w:r>
        <w:tab/>
        <w:t xml:space="preserve">Metacognition as part of a broader perspective on learning. </w:t>
      </w:r>
      <w:r w:rsidRPr="000772BE">
        <w:rPr>
          <w:i/>
        </w:rPr>
        <w:t xml:space="preserve">Research in Science </w:t>
      </w:r>
      <w:r>
        <w:rPr>
          <w:i/>
        </w:rPr>
        <w:tab/>
      </w:r>
      <w:r w:rsidRPr="000772BE">
        <w:rPr>
          <w:i/>
        </w:rPr>
        <w:t>Education, 36</w:t>
      </w:r>
      <w:r>
        <w:t xml:space="preserve">, 111-139. </w:t>
      </w:r>
    </w:p>
    <w:p w:rsidR="000772BE" w:rsidRDefault="000772BE" w:rsidP="000772BE">
      <w:pPr>
        <w:pStyle w:val="NoSpacing"/>
      </w:pPr>
    </w:p>
    <w:p w:rsidR="000772BE" w:rsidRDefault="000772BE" w:rsidP="000772BE">
      <w:pPr>
        <w:pStyle w:val="NoSpacing"/>
      </w:pPr>
      <w:proofErr w:type="spellStart"/>
      <w:r w:rsidRPr="000772BE">
        <w:t>Schunk</w:t>
      </w:r>
      <w:proofErr w:type="spellEnd"/>
      <w:r w:rsidRPr="000772BE">
        <w:t xml:space="preserve">, D. (1996). Goal and self-evaluative inﬂuences during children’s cognitive skill learning. </w:t>
      </w:r>
      <w:r>
        <w:tab/>
      </w:r>
      <w:r w:rsidRPr="000772BE">
        <w:rPr>
          <w:i/>
        </w:rPr>
        <w:t>American Educational Research Journal, 33</w:t>
      </w:r>
      <w:r w:rsidRPr="000772BE">
        <w:t>(2), 359–382.</w:t>
      </w:r>
    </w:p>
    <w:p w:rsidR="0066114C" w:rsidRDefault="0066114C" w:rsidP="000772BE">
      <w:pPr>
        <w:pStyle w:val="NoSpacing"/>
      </w:pPr>
    </w:p>
    <w:p w:rsidR="0066114C" w:rsidRDefault="0066114C" w:rsidP="000772BE">
      <w:pPr>
        <w:pStyle w:val="NoSpacing"/>
      </w:pPr>
      <w:proofErr w:type="spellStart"/>
      <w:r w:rsidRPr="0066114C">
        <w:t>Schunk</w:t>
      </w:r>
      <w:proofErr w:type="spellEnd"/>
      <w:r w:rsidRPr="0066114C">
        <w:t xml:space="preserve">, D. H., </w:t>
      </w:r>
      <w:proofErr w:type="spellStart"/>
      <w:r w:rsidRPr="0066114C">
        <w:t>Pintrich</w:t>
      </w:r>
      <w:proofErr w:type="spellEnd"/>
      <w:r w:rsidRPr="0066114C">
        <w:t xml:space="preserve">, P. R., &amp; Meese, J. L. (2008). </w:t>
      </w:r>
      <w:r w:rsidRPr="0066114C">
        <w:rPr>
          <w:i/>
        </w:rPr>
        <w:t>Motivation in education</w:t>
      </w:r>
      <w:r>
        <w:t xml:space="preserve">. (3rd ed.). </w:t>
      </w:r>
      <w:r w:rsidRPr="0066114C">
        <w:t xml:space="preserve">Upper </w:t>
      </w:r>
      <w:r>
        <w:tab/>
      </w:r>
      <w:r w:rsidRPr="0066114C">
        <w:t>Saddle River, NJ: Pearson.</w:t>
      </w:r>
    </w:p>
    <w:p w:rsidR="0066114C" w:rsidRDefault="0066114C" w:rsidP="000772BE">
      <w:pPr>
        <w:pStyle w:val="NoSpacing"/>
      </w:pPr>
    </w:p>
    <w:p w:rsidR="0066114C" w:rsidRDefault="0066114C" w:rsidP="000772BE">
      <w:pPr>
        <w:pStyle w:val="NoSpacing"/>
      </w:pPr>
      <w:r>
        <w:t xml:space="preserve">Shih, C., &amp; </w:t>
      </w:r>
      <w:proofErr w:type="spellStart"/>
      <w:r>
        <w:t>Gamon</w:t>
      </w:r>
      <w:proofErr w:type="spellEnd"/>
      <w:r>
        <w:t xml:space="preserve">, J. (2001). Web-based learning: Relationships among student motivation, </w:t>
      </w:r>
      <w:r>
        <w:tab/>
        <w:t xml:space="preserve">attitude, learning styles, and achievement. </w:t>
      </w:r>
      <w:r w:rsidRPr="0066114C">
        <w:rPr>
          <w:i/>
        </w:rPr>
        <w:t>Journal of Agricultural Education, 42</w:t>
      </w:r>
      <w:r>
        <w:t>(4), 12-</w:t>
      </w:r>
      <w:r>
        <w:tab/>
        <w:t xml:space="preserve">20. </w:t>
      </w:r>
    </w:p>
    <w:p w:rsidR="0066114C" w:rsidRDefault="0066114C" w:rsidP="000772BE">
      <w:pPr>
        <w:pStyle w:val="NoSpacing"/>
      </w:pPr>
    </w:p>
    <w:p w:rsidR="0066114C" w:rsidRPr="000772BE" w:rsidRDefault="0066114C" w:rsidP="000772BE">
      <w:pPr>
        <w:pStyle w:val="NoSpacing"/>
      </w:pPr>
      <w:r w:rsidRPr="0066114C">
        <w:t xml:space="preserve">Zimmerman, B. (2000). Attaining self-regulated learning: A social-cognitive perspective. In M. </w:t>
      </w:r>
      <w:r>
        <w:tab/>
      </w:r>
      <w:proofErr w:type="spellStart"/>
      <w:r w:rsidRPr="0066114C">
        <w:t>Boekaerts</w:t>
      </w:r>
      <w:proofErr w:type="spellEnd"/>
      <w:r w:rsidRPr="0066114C">
        <w:t xml:space="preserve">, P. </w:t>
      </w:r>
      <w:proofErr w:type="spellStart"/>
      <w:r w:rsidRPr="0066114C">
        <w:t>Pintrich</w:t>
      </w:r>
      <w:proofErr w:type="spellEnd"/>
      <w:r w:rsidRPr="0066114C">
        <w:t xml:space="preserve">, &amp; M. </w:t>
      </w:r>
      <w:proofErr w:type="spellStart"/>
      <w:r w:rsidRPr="0066114C">
        <w:t>Zeidner</w:t>
      </w:r>
      <w:proofErr w:type="spellEnd"/>
      <w:r w:rsidRPr="0066114C">
        <w:t xml:space="preserve"> (Eds.), </w:t>
      </w:r>
      <w:r w:rsidRPr="0066114C">
        <w:rPr>
          <w:i/>
        </w:rPr>
        <w:t>Handbook of self-regulation (</w:t>
      </w:r>
      <w:r w:rsidRPr="0066114C">
        <w:t xml:space="preserve">pp. 13–39). </w:t>
      </w:r>
      <w:r>
        <w:tab/>
      </w:r>
      <w:r w:rsidRPr="0066114C">
        <w:t>San Diego, CA: Academic Press.</w:t>
      </w:r>
    </w:p>
    <w:sectPr w:rsidR="0066114C" w:rsidRPr="00077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B6"/>
    <w:rsid w:val="000772BE"/>
    <w:rsid w:val="000C05E7"/>
    <w:rsid w:val="001033BF"/>
    <w:rsid w:val="0016774D"/>
    <w:rsid w:val="001D5EFF"/>
    <w:rsid w:val="002E48FF"/>
    <w:rsid w:val="00316966"/>
    <w:rsid w:val="0037635E"/>
    <w:rsid w:val="00383B6F"/>
    <w:rsid w:val="003E5113"/>
    <w:rsid w:val="00473176"/>
    <w:rsid w:val="00495496"/>
    <w:rsid w:val="00541CBB"/>
    <w:rsid w:val="005D74F8"/>
    <w:rsid w:val="00600FE6"/>
    <w:rsid w:val="00603A1B"/>
    <w:rsid w:val="0063161B"/>
    <w:rsid w:val="0066114C"/>
    <w:rsid w:val="006F3ECC"/>
    <w:rsid w:val="00804353"/>
    <w:rsid w:val="008143B3"/>
    <w:rsid w:val="00817768"/>
    <w:rsid w:val="00820022"/>
    <w:rsid w:val="00941E88"/>
    <w:rsid w:val="009E2BCA"/>
    <w:rsid w:val="009F4AC9"/>
    <w:rsid w:val="00A149A0"/>
    <w:rsid w:val="00A85BA7"/>
    <w:rsid w:val="00BA5C64"/>
    <w:rsid w:val="00BD2149"/>
    <w:rsid w:val="00BE7EB3"/>
    <w:rsid w:val="00C61C42"/>
    <w:rsid w:val="00C93EB6"/>
    <w:rsid w:val="00D11161"/>
    <w:rsid w:val="00D93A0C"/>
    <w:rsid w:val="00DB2EAA"/>
    <w:rsid w:val="00DD2695"/>
    <w:rsid w:val="00DD5ABE"/>
    <w:rsid w:val="00DF2E1B"/>
    <w:rsid w:val="00E04E65"/>
    <w:rsid w:val="00E36F14"/>
    <w:rsid w:val="00E47E1D"/>
    <w:rsid w:val="00E87302"/>
    <w:rsid w:val="00EB431F"/>
    <w:rsid w:val="00EB4329"/>
    <w:rsid w:val="00FA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ED16"/>
  <w15:chartTrackingRefBased/>
  <w15:docId w15:val="{A03BE039-488B-4D1F-A2F4-D0542DBB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EB6"/>
    <w:pPr>
      <w:spacing w:after="0" w:line="240" w:lineRule="auto"/>
    </w:pPr>
  </w:style>
  <w:style w:type="table" w:styleId="TableGrid">
    <w:name w:val="Table Grid"/>
    <w:basedOn w:val="TableNormal"/>
    <w:uiPriority w:val="39"/>
    <w:rsid w:val="00FA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13746-F6D6-47A8-9B46-D72B72C5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Swafford</dc:creator>
  <cp:keywords/>
  <dc:description/>
  <cp:lastModifiedBy>Swafford, Marshall</cp:lastModifiedBy>
  <cp:revision>6</cp:revision>
  <cp:lastPrinted>2016-09-01T16:59:00Z</cp:lastPrinted>
  <dcterms:created xsi:type="dcterms:W3CDTF">2016-05-16T04:31:00Z</dcterms:created>
  <dcterms:modified xsi:type="dcterms:W3CDTF">2016-09-01T17:16:00Z</dcterms:modified>
</cp:coreProperties>
</file>